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2DDC" w14:textId="2CBA40C6" w:rsidR="00B229E0" w:rsidRDefault="00B229E0" w:rsidP="00F83BC6">
      <w:pPr>
        <w:jc w:val="center"/>
        <w:rPr>
          <w:rFonts w:ascii="Arial" w:hAnsi="Arial" w:cs="Arial"/>
          <w:b/>
          <w:sz w:val="28"/>
          <w:szCs w:val="28"/>
        </w:rPr>
      </w:pPr>
      <w:bookmarkStart w:id="0" w:name="_Hlk459203"/>
      <w:bookmarkEnd w:id="0"/>
    </w:p>
    <w:p w14:paraId="363A4272" w14:textId="6C15EF66" w:rsidR="001F7E2F" w:rsidRDefault="001F7E2F" w:rsidP="00F83BC6">
      <w:pPr>
        <w:jc w:val="center"/>
        <w:rPr>
          <w:rFonts w:ascii="Arial" w:hAnsi="Arial" w:cs="Arial"/>
          <w:b/>
          <w:sz w:val="28"/>
          <w:szCs w:val="28"/>
        </w:rPr>
      </w:pPr>
    </w:p>
    <w:p w14:paraId="208E0495" w14:textId="38986C48" w:rsidR="001F7E2F" w:rsidRDefault="001F7E2F" w:rsidP="00F83BC6">
      <w:pPr>
        <w:jc w:val="center"/>
        <w:rPr>
          <w:rFonts w:ascii="Arial" w:hAnsi="Arial" w:cs="Arial"/>
          <w:b/>
          <w:sz w:val="28"/>
          <w:szCs w:val="28"/>
        </w:rPr>
      </w:pPr>
    </w:p>
    <w:p w14:paraId="4A7EC5B2" w14:textId="77777777" w:rsidR="001F7E2F" w:rsidRDefault="001F7E2F" w:rsidP="00F83BC6">
      <w:pPr>
        <w:jc w:val="center"/>
        <w:rPr>
          <w:rFonts w:ascii="Arial" w:hAnsi="Arial" w:cs="Arial"/>
          <w:b/>
          <w:sz w:val="28"/>
          <w:szCs w:val="28"/>
        </w:rPr>
      </w:pPr>
    </w:p>
    <w:p w14:paraId="01851D47" w14:textId="3ADCDA08" w:rsidR="00DA5CF1" w:rsidRDefault="00480623" w:rsidP="00FA5FE4">
      <w:pPr>
        <w:pStyle w:val="Ttulo"/>
      </w:pPr>
      <w:r w:rsidRPr="004D3483">
        <w:t>Informe</w:t>
      </w:r>
      <w:r w:rsidR="003006EA">
        <w:t xml:space="preserve"> </w:t>
      </w:r>
      <w:r w:rsidR="003B7F3F">
        <w:t xml:space="preserve">de Cumplimiento </w:t>
      </w:r>
      <w:r w:rsidR="009C12D6">
        <w:t>de</w:t>
      </w:r>
      <w:r w:rsidR="003B7F3F">
        <w:t>l</w:t>
      </w:r>
      <w:r w:rsidR="009C12D6">
        <w:t xml:space="preserve"> </w:t>
      </w:r>
      <w:r w:rsidR="00DA5CF1">
        <w:t>Plan Anual de Desarrollo Archivístico</w:t>
      </w:r>
      <w:r w:rsidR="009B23CC">
        <w:t xml:space="preserve"> 2019</w:t>
      </w:r>
    </w:p>
    <w:p w14:paraId="3078F288" w14:textId="2AFD1B95" w:rsidR="00135E66" w:rsidRDefault="00135E66" w:rsidP="00135E66"/>
    <w:p w14:paraId="4B17E43E" w14:textId="6E9BF271" w:rsidR="00135E66" w:rsidRDefault="00135E66" w:rsidP="00135E66"/>
    <w:p w14:paraId="6FB0C3AC" w14:textId="6E68592B" w:rsidR="00135E66" w:rsidRDefault="00135E66" w:rsidP="00135E66"/>
    <w:p w14:paraId="3431BA16" w14:textId="16698C67" w:rsidR="00135E66" w:rsidRPr="00135E66" w:rsidRDefault="00135E66" w:rsidP="00135E66">
      <w:pPr>
        <w:jc w:val="right"/>
      </w:pPr>
    </w:p>
    <w:p w14:paraId="09540597" w14:textId="609C3B81" w:rsidR="008450D0" w:rsidRDefault="008450D0" w:rsidP="008450D0"/>
    <w:p w14:paraId="64A3ABC9" w14:textId="77777777" w:rsidR="008450D0" w:rsidRPr="008450D0" w:rsidRDefault="008450D0" w:rsidP="008450D0"/>
    <w:p w14:paraId="04EFA2AA" w14:textId="3CA54CC4" w:rsidR="001F7E2F" w:rsidRDefault="001F7E2F">
      <w:pPr>
        <w:spacing w:after="200"/>
        <w:jc w:val="left"/>
        <w:rPr>
          <w:rFonts w:ascii="Arial" w:hAnsi="Arial" w:cs="Arial"/>
          <w:szCs w:val="24"/>
        </w:rPr>
      </w:pPr>
      <w:r>
        <w:rPr>
          <w:rFonts w:ascii="Arial" w:hAnsi="Arial" w:cs="Arial"/>
          <w:szCs w:val="24"/>
        </w:rPr>
        <w:br w:type="page"/>
      </w:r>
    </w:p>
    <w:p w14:paraId="7840105F" w14:textId="6EE28F67" w:rsidR="00B52B97" w:rsidRDefault="00B52B97" w:rsidP="00F83BC6">
      <w:pPr>
        <w:pStyle w:val="Default"/>
        <w:jc w:val="both"/>
        <w:rPr>
          <w:lang w:val="es-ES"/>
        </w:rPr>
      </w:pPr>
    </w:p>
    <w:p w14:paraId="29787B74" w14:textId="237545E8" w:rsidR="0098473A" w:rsidRPr="00135E66" w:rsidRDefault="00475AEE" w:rsidP="008259CE">
      <w:pPr>
        <w:pStyle w:val="Ttulo1"/>
      </w:pPr>
      <w:bookmarkStart w:id="1" w:name="_Toc25709524"/>
      <w:r w:rsidRPr="00135E66">
        <w:t xml:space="preserve">Programa 1: </w:t>
      </w:r>
      <w:r w:rsidR="00315805">
        <w:t>Programa Anual de D</w:t>
      </w:r>
      <w:r w:rsidR="0098473A" w:rsidRPr="00135E66">
        <w:t>e</w:t>
      </w:r>
      <w:r w:rsidRPr="00135E66">
        <w:t>s</w:t>
      </w:r>
      <w:r w:rsidR="00315805">
        <w:t>arrollo A</w:t>
      </w:r>
      <w:r w:rsidR="0098473A" w:rsidRPr="00135E66">
        <w:t>rchivístico del INAI (Organización, conservación y disposición de los archivos del INAI)</w:t>
      </w:r>
      <w:bookmarkEnd w:id="1"/>
    </w:p>
    <w:p w14:paraId="334BFD25" w14:textId="113C16A9" w:rsidR="00475AEE" w:rsidRDefault="00475AEE" w:rsidP="00475AEE">
      <w:pPr>
        <w:pStyle w:val="Default"/>
        <w:rPr>
          <w:b/>
          <w:u w:val="single"/>
          <w:lang w:val="es-ES"/>
        </w:rPr>
      </w:pPr>
    </w:p>
    <w:p w14:paraId="493E1820" w14:textId="77777777" w:rsidR="005E626F" w:rsidRPr="0098473A" w:rsidRDefault="005E626F" w:rsidP="00475AEE">
      <w:pPr>
        <w:pStyle w:val="Default"/>
        <w:rPr>
          <w:b/>
          <w:u w:val="single"/>
          <w:lang w:val="es-ES"/>
        </w:rPr>
      </w:pPr>
    </w:p>
    <w:p w14:paraId="24C3FDA5" w14:textId="0C70A3A4" w:rsidR="003E0E09" w:rsidRPr="00475AEE" w:rsidRDefault="00FA5FE4" w:rsidP="008C32B4">
      <w:pPr>
        <w:pStyle w:val="Ttulo2"/>
      </w:pPr>
      <w:bookmarkStart w:id="2" w:name="_Toc25709525"/>
      <w:r>
        <w:t xml:space="preserve">1.1 </w:t>
      </w:r>
      <w:r w:rsidR="00EA439D" w:rsidRPr="00475AEE">
        <w:t>ADMINISTRACIÓN DE ARCHIVOS</w:t>
      </w:r>
      <w:bookmarkEnd w:id="2"/>
    </w:p>
    <w:p w14:paraId="08D20039" w14:textId="771C3047" w:rsidR="00F161BE" w:rsidRDefault="00F161BE" w:rsidP="003E0E09">
      <w:pPr>
        <w:pStyle w:val="Default"/>
        <w:ind w:left="792"/>
        <w:rPr>
          <w:b/>
        </w:rPr>
      </w:pPr>
    </w:p>
    <w:p w14:paraId="0F75163F" w14:textId="77777777" w:rsidR="005E626F" w:rsidRDefault="005E626F" w:rsidP="003E0E09">
      <w:pPr>
        <w:pStyle w:val="Default"/>
        <w:ind w:left="792"/>
        <w:rPr>
          <w:b/>
        </w:rPr>
      </w:pPr>
    </w:p>
    <w:p w14:paraId="0DE67883" w14:textId="1CAFE2B0" w:rsidR="00912E92" w:rsidRPr="005E5FC4" w:rsidRDefault="00452F6E" w:rsidP="000011C0">
      <w:pPr>
        <w:pStyle w:val="Ttulo3"/>
        <w:rPr>
          <w:lang w:val="es-MX" w:eastAsia="es-MX"/>
        </w:rPr>
      </w:pPr>
      <w:bookmarkStart w:id="3" w:name="_Toc25709526"/>
      <w:r w:rsidRPr="005E5FC4">
        <w:t>1.1A</w:t>
      </w:r>
      <w:r w:rsidR="000D15BF" w:rsidRPr="005E5FC4">
        <w:t xml:space="preserve"> </w:t>
      </w:r>
      <w:r w:rsidR="00544A55" w:rsidRPr="005E5FC4">
        <w:t>P</w:t>
      </w:r>
      <w:r w:rsidR="000D15BF" w:rsidRPr="005E5FC4">
        <w:rPr>
          <w:lang w:val="es-MX" w:eastAsia="es-MX"/>
        </w:rPr>
        <w:t xml:space="preserve">resentar al Comité de </w:t>
      </w:r>
      <w:r w:rsidR="00544A55" w:rsidRPr="005E5FC4">
        <w:rPr>
          <w:lang w:val="es-MX" w:eastAsia="es-MX"/>
        </w:rPr>
        <w:t xml:space="preserve">Valoración Documental </w:t>
      </w:r>
      <w:r w:rsidR="000D15BF" w:rsidRPr="005E5FC4">
        <w:rPr>
          <w:lang w:val="es-MX" w:eastAsia="es-MX"/>
        </w:rPr>
        <w:t>el Plan Anual</w:t>
      </w:r>
      <w:r w:rsidR="008914CD" w:rsidRPr="005E5FC4">
        <w:rPr>
          <w:lang w:val="es-MX" w:eastAsia="es-MX"/>
        </w:rPr>
        <w:t xml:space="preserve"> de Desarrollo Archivístico 201</w:t>
      </w:r>
      <w:r w:rsidR="00616E23" w:rsidRPr="005E5FC4">
        <w:rPr>
          <w:lang w:val="es-MX" w:eastAsia="es-MX"/>
        </w:rPr>
        <w:t>9</w:t>
      </w:r>
      <w:bookmarkEnd w:id="3"/>
    </w:p>
    <w:p w14:paraId="529880EC" w14:textId="77777777" w:rsidR="005E5FC4" w:rsidRDefault="005E5FC4" w:rsidP="005E5FC4">
      <w:pPr>
        <w:rPr>
          <w:lang w:val="es-MX" w:eastAsia="es-MX"/>
        </w:rPr>
      </w:pPr>
    </w:p>
    <w:p w14:paraId="0A544011" w14:textId="64F2C80D" w:rsidR="00B77A9D" w:rsidRDefault="00FE008F" w:rsidP="005E5FC4">
      <w:r>
        <w:t>Durante la Primera Sesión Ordinaria 201</w:t>
      </w:r>
      <w:r w:rsidR="00616E23">
        <w:t>9</w:t>
      </w:r>
      <w:r>
        <w:t xml:space="preserve"> del </w:t>
      </w:r>
      <w:r w:rsidR="00544A55" w:rsidRPr="002645C1">
        <w:t xml:space="preserve">Comité de </w:t>
      </w:r>
      <w:r w:rsidR="00F62C0B">
        <w:t>Valoración Documental</w:t>
      </w:r>
      <w:r>
        <w:t>,</w:t>
      </w:r>
      <w:r w:rsidR="00617A2A">
        <w:t xml:space="preserve"> celebrada en fecha </w:t>
      </w:r>
      <w:r>
        <w:t>5 de marzo de 201</w:t>
      </w:r>
      <w:r w:rsidR="00617A2A">
        <w:t>9</w:t>
      </w:r>
      <w:r>
        <w:t>, se presentó</w:t>
      </w:r>
      <w:r w:rsidR="00544A55" w:rsidRPr="002645C1">
        <w:t xml:space="preserve"> el Plan Anual de Desarrollo Archivístico 201</w:t>
      </w:r>
      <w:r w:rsidR="00617A2A">
        <w:t>9</w:t>
      </w:r>
      <w:r>
        <w:t xml:space="preserve"> </w:t>
      </w:r>
      <w:r w:rsidRPr="002645C1">
        <w:t>(PADA</w:t>
      </w:r>
      <w:r w:rsidR="002F75B1">
        <w:t xml:space="preserve"> </w:t>
      </w:r>
      <w:r>
        <w:t>201</w:t>
      </w:r>
      <w:r w:rsidR="00617A2A">
        <w:t>9</w:t>
      </w:r>
      <w:r w:rsidRPr="002645C1">
        <w:t>)</w:t>
      </w:r>
      <w:r w:rsidR="00544A55" w:rsidRPr="002645C1">
        <w:t xml:space="preserve">, </w:t>
      </w:r>
      <w:r w:rsidR="00385BA1">
        <w:t>con</w:t>
      </w:r>
      <w:r w:rsidR="00544A55" w:rsidRPr="002645C1">
        <w:t xml:space="preserve"> las acciones a emprender a escala institucional para la modernización y mejoramiento continuo de los servicios documentales y archivístic</w:t>
      </w:r>
      <w:r>
        <w:t xml:space="preserve">os del INAI (enero a diciembre), el cual fue aprobado mediante </w:t>
      </w:r>
      <w:r w:rsidR="00F83BC6" w:rsidRPr="002645C1">
        <w:t xml:space="preserve">Acuerdo </w:t>
      </w:r>
      <w:r w:rsidR="007528D7">
        <w:t>CVD-</w:t>
      </w:r>
      <w:r w:rsidR="006E147F">
        <w:t>0</w:t>
      </w:r>
      <w:r w:rsidR="00981F5B" w:rsidRPr="00981F5B">
        <w:t>5/03/201</w:t>
      </w:r>
      <w:r w:rsidR="007528D7">
        <w:t>9</w:t>
      </w:r>
      <w:r w:rsidR="00981F5B" w:rsidRPr="00981F5B">
        <w:t>.0</w:t>
      </w:r>
      <w:r w:rsidR="006E147F">
        <w:t>7</w:t>
      </w:r>
      <w:r w:rsidR="00B77A9D">
        <w:t>.</w:t>
      </w:r>
    </w:p>
    <w:p w14:paraId="5426C005" w14:textId="6E13AE15" w:rsidR="00B77A9D" w:rsidRDefault="00B77A9D" w:rsidP="00F83BC6">
      <w:pPr>
        <w:spacing w:line="360" w:lineRule="auto"/>
        <w:rPr>
          <w:rFonts w:ascii="Arial" w:hAnsi="Arial" w:cs="Arial"/>
        </w:rPr>
      </w:pPr>
      <w:r>
        <w:rPr>
          <w:noProof/>
          <w:lang w:val="es-MX" w:eastAsia="es-MX"/>
        </w:rPr>
        <w:drawing>
          <wp:anchor distT="0" distB="0" distL="114300" distR="114300" simplePos="0" relativeHeight="251676672" behindDoc="0" locked="0" layoutInCell="1" allowOverlap="1" wp14:anchorId="13302A74" wp14:editId="50E11836">
            <wp:simplePos x="0" y="0"/>
            <wp:positionH relativeFrom="margin">
              <wp:posOffset>21428</wp:posOffset>
            </wp:positionH>
            <wp:positionV relativeFrom="paragraph">
              <wp:posOffset>240030</wp:posOffset>
            </wp:positionV>
            <wp:extent cx="600075" cy="6000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14:paraId="1900EF0D" w14:textId="5E2FBAF0" w:rsidR="00F83BC6" w:rsidRPr="00634851" w:rsidRDefault="00B77A9D" w:rsidP="005E5FC4">
      <w:r w:rsidRPr="00634851">
        <w:t>D</w:t>
      </w:r>
      <w:r w:rsidR="00F83BC6" w:rsidRPr="00634851">
        <w:t>e conformidad con lo establecido en el artículo 12</w:t>
      </w:r>
      <w:r w:rsidR="00A23A6E" w:rsidRPr="00634851">
        <w:t>,</w:t>
      </w:r>
      <w:r w:rsidR="00F83BC6" w:rsidRPr="00634851">
        <w:t xml:space="preserve"> fracción VI de la Ley Federal de Archivos.  </w:t>
      </w:r>
    </w:p>
    <w:p w14:paraId="406A1D7E" w14:textId="77777777" w:rsidR="001063F9" w:rsidRPr="002645C1" w:rsidRDefault="001063F9" w:rsidP="001063F9">
      <w:pPr>
        <w:spacing w:line="360" w:lineRule="auto"/>
        <w:rPr>
          <w:rFonts w:ascii="Arial" w:hAnsi="Arial" w:cs="Arial"/>
          <w:b/>
        </w:rPr>
      </w:pPr>
      <w:r w:rsidRPr="00634851">
        <w:rPr>
          <w:rFonts w:ascii="Arial" w:hAnsi="Arial" w:cs="Arial"/>
          <w:b/>
        </w:rPr>
        <w:t>Avance: 100%</w:t>
      </w:r>
    </w:p>
    <w:p w14:paraId="41FA3554" w14:textId="6EA0A156" w:rsidR="001063F9" w:rsidRDefault="001063F9" w:rsidP="001B4DDC">
      <w:pPr>
        <w:spacing w:line="360" w:lineRule="auto"/>
        <w:rPr>
          <w:rFonts w:ascii="Arial" w:hAnsi="Arial" w:cs="Arial"/>
          <w:b/>
          <w:lang w:val="es-MX" w:eastAsia="es-MX"/>
        </w:rPr>
      </w:pPr>
    </w:p>
    <w:p w14:paraId="4A78D59F" w14:textId="5B742958" w:rsidR="00475AEE" w:rsidRDefault="00475AEE" w:rsidP="001B4DDC">
      <w:pPr>
        <w:spacing w:line="360" w:lineRule="auto"/>
        <w:rPr>
          <w:rFonts w:ascii="Arial" w:hAnsi="Arial" w:cs="Arial"/>
          <w:b/>
          <w:lang w:val="es-MX"/>
        </w:rPr>
      </w:pPr>
    </w:p>
    <w:p w14:paraId="123B5C17" w14:textId="69D5B510" w:rsidR="0089352F" w:rsidRDefault="0089352F" w:rsidP="000011C0">
      <w:pPr>
        <w:pStyle w:val="Ttulo3"/>
        <w:rPr>
          <w:lang w:val="es-MX" w:eastAsia="es-MX"/>
        </w:rPr>
      </w:pPr>
      <w:bookmarkStart w:id="4" w:name="_Toc25709527"/>
      <w:r w:rsidRPr="005E5FC4">
        <w:t xml:space="preserve">1.1B </w:t>
      </w:r>
      <w:r w:rsidRPr="005E5FC4">
        <w:rPr>
          <w:lang w:val="es-MX" w:eastAsia="es-MX"/>
        </w:rPr>
        <w:t>Presentar al Comité de Valoración Documental el Cuadro General de Clasificación</w:t>
      </w:r>
      <w:r w:rsidRPr="00ED3967">
        <w:rPr>
          <w:lang w:val="es-MX" w:eastAsia="es-MX"/>
        </w:rPr>
        <w:t xml:space="preserve"> Archivística, el Catálogo de Disposición D</w:t>
      </w:r>
      <w:r w:rsidR="00315805">
        <w:rPr>
          <w:lang w:val="es-MX" w:eastAsia="es-MX"/>
        </w:rPr>
        <w:t>ocumental y la Guía de Archivo D</w:t>
      </w:r>
      <w:r w:rsidRPr="00ED3967">
        <w:rPr>
          <w:lang w:val="es-MX" w:eastAsia="es-MX"/>
        </w:rPr>
        <w:t>ocumental 201</w:t>
      </w:r>
      <w:r>
        <w:rPr>
          <w:lang w:val="es-MX" w:eastAsia="es-MX"/>
        </w:rPr>
        <w:t>8-2019</w:t>
      </w:r>
      <w:r w:rsidR="005E5FC4">
        <w:rPr>
          <w:lang w:val="es-MX" w:eastAsia="es-MX"/>
        </w:rPr>
        <w:t>.</w:t>
      </w:r>
      <w:bookmarkEnd w:id="4"/>
    </w:p>
    <w:p w14:paraId="67F3049D" w14:textId="77777777" w:rsidR="005E5FC4" w:rsidRPr="002645C1" w:rsidRDefault="005E5FC4" w:rsidP="005E5FC4">
      <w:pPr>
        <w:rPr>
          <w:lang w:val="es-MX" w:eastAsia="es-MX"/>
        </w:rPr>
      </w:pPr>
    </w:p>
    <w:p w14:paraId="4D1F12B8" w14:textId="1E4B0408" w:rsidR="00135E66" w:rsidRDefault="0089352F" w:rsidP="005E5FC4">
      <w:r>
        <w:t>Durante la Primera Sesión Ordinaria de 2019, s</w:t>
      </w:r>
      <w:r w:rsidRPr="00ED3967">
        <w:t>e present</w:t>
      </w:r>
      <w:r>
        <w:t>aron</w:t>
      </w:r>
      <w:r w:rsidRPr="00ED3967">
        <w:t xml:space="preserve"> al Comité de Valoración Documental</w:t>
      </w:r>
      <w:r>
        <w:t xml:space="preserve"> </w:t>
      </w:r>
      <w:r w:rsidRPr="00ED3967">
        <w:t>el Cuadro General de Clasificación Archivística, el Catálogo de Disposición D</w:t>
      </w:r>
      <w:r>
        <w:t>ocumental</w:t>
      </w:r>
      <w:r w:rsidR="00B104B0">
        <w:t xml:space="preserve"> 2018-2019</w:t>
      </w:r>
      <w:r>
        <w:t xml:space="preserve"> y la Guía de Archivo D</w:t>
      </w:r>
      <w:r w:rsidRPr="00ED3967">
        <w:t>ocumental 201</w:t>
      </w:r>
      <w:r>
        <w:t xml:space="preserve">8, documentos que forman parte de los instrumentos de consulta y control archivísticos institucionales, los cuales fueron </w:t>
      </w:r>
      <w:r w:rsidRPr="00ED3967">
        <w:t>aprobado</w:t>
      </w:r>
      <w:r>
        <w:t>s</w:t>
      </w:r>
      <w:r w:rsidRPr="00ED3967">
        <w:t xml:space="preserve"> mediante Acuerdo </w:t>
      </w:r>
      <w:r>
        <w:t>CVD-05/03/2019.08.</w:t>
      </w:r>
    </w:p>
    <w:p w14:paraId="556793DF" w14:textId="77468804" w:rsidR="0089352F" w:rsidRPr="00634851" w:rsidRDefault="0089352F" w:rsidP="00135E66">
      <w:r w:rsidRPr="00634851">
        <w:rPr>
          <w:noProof/>
          <w:lang w:val="es-MX" w:eastAsia="es-MX"/>
        </w:rPr>
        <w:lastRenderedPageBreak/>
        <w:drawing>
          <wp:anchor distT="0" distB="0" distL="114300" distR="114300" simplePos="0" relativeHeight="251695104" behindDoc="0" locked="0" layoutInCell="1" allowOverlap="1" wp14:anchorId="0C29F928" wp14:editId="41481CBE">
            <wp:simplePos x="0" y="0"/>
            <wp:positionH relativeFrom="margin">
              <wp:posOffset>0</wp:posOffset>
            </wp:positionH>
            <wp:positionV relativeFrom="paragraph">
              <wp:posOffset>63721</wp:posOffset>
            </wp:positionV>
            <wp:extent cx="600075" cy="600075"/>
            <wp:effectExtent l="0" t="0" r="952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634851">
        <w:t>De conformidad con lo establecido en el artículo 12, fracción III y 19 de la Ley Federal de Archivos.</w:t>
      </w:r>
    </w:p>
    <w:p w14:paraId="01A0AD6E" w14:textId="77777777" w:rsidR="0089352F" w:rsidRPr="005E5FC4" w:rsidRDefault="0089352F" w:rsidP="005E5FC4">
      <w:pPr>
        <w:rPr>
          <w:b/>
        </w:rPr>
      </w:pPr>
      <w:r w:rsidRPr="00634851">
        <w:rPr>
          <w:b/>
        </w:rPr>
        <w:t>Avance: 100%</w:t>
      </w:r>
    </w:p>
    <w:p w14:paraId="1262ECA4" w14:textId="2FD9FB81" w:rsidR="0089352F" w:rsidRDefault="0089352F" w:rsidP="001B4DDC">
      <w:pPr>
        <w:spacing w:line="360" w:lineRule="auto"/>
        <w:rPr>
          <w:rFonts w:ascii="Arial" w:hAnsi="Arial" w:cs="Arial"/>
          <w:b/>
          <w:lang w:val="es-MX"/>
        </w:rPr>
      </w:pPr>
    </w:p>
    <w:p w14:paraId="589256E2" w14:textId="77777777" w:rsidR="005E626F" w:rsidRDefault="005E626F" w:rsidP="001B4DDC">
      <w:pPr>
        <w:spacing w:line="360" w:lineRule="auto"/>
        <w:rPr>
          <w:rFonts w:ascii="Arial" w:hAnsi="Arial" w:cs="Arial"/>
          <w:b/>
          <w:lang w:val="es-MX"/>
        </w:rPr>
      </w:pPr>
    </w:p>
    <w:p w14:paraId="36DCA717" w14:textId="35C93A63" w:rsidR="000D15BF" w:rsidRPr="005E5FC4" w:rsidRDefault="00452F6E" w:rsidP="000011C0">
      <w:pPr>
        <w:pStyle w:val="Ttulo3"/>
        <w:rPr>
          <w:lang w:val="es-MX" w:eastAsia="es-MX"/>
        </w:rPr>
      </w:pPr>
      <w:bookmarkStart w:id="5" w:name="_Toc25709528"/>
      <w:r w:rsidRPr="005E5FC4">
        <w:rPr>
          <w:lang w:val="es-MX"/>
        </w:rPr>
        <w:t>1.1</w:t>
      </w:r>
      <w:r w:rsidR="0089352F" w:rsidRPr="005E5FC4">
        <w:rPr>
          <w:lang w:val="es-MX"/>
        </w:rPr>
        <w:t>C</w:t>
      </w:r>
      <w:r w:rsidR="00544A55" w:rsidRPr="005E5FC4">
        <w:t xml:space="preserve"> P</w:t>
      </w:r>
      <w:r w:rsidR="005A6E43" w:rsidRPr="005E5FC4">
        <w:rPr>
          <w:lang w:val="es-MX" w:eastAsia="es-MX"/>
        </w:rPr>
        <w:t>resentar</w:t>
      </w:r>
      <w:r w:rsidR="00544A55" w:rsidRPr="005E5FC4">
        <w:rPr>
          <w:lang w:val="es-MX" w:eastAsia="es-MX"/>
        </w:rPr>
        <w:t xml:space="preserve"> al Comité de Transparencia el Plan Anual</w:t>
      </w:r>
      <w:r w:rsidR="00991CFD">
        <w:rPr>
          <w:lang w:val="es-MX" w:eastAsia="es-MX"/>
        </w:rPr>
        <w:t xml:space="preserve"> de Desarrollo Archivístico 2019</w:t>
      </w:r>
      <w:bookmarkEnd w:id="5"/>
    </w:p>
    <w:p w14:paraId="7F5E06DB" w14:textId="77777777" w:rsidR="005E5FC4" w:rsidRPr="005E5FC4" w:rsidRDefault="005E5FC4" w:rsidP="005E5FC4">
      <w:pPr>
        <w:rPr>
          <w:b/>
          <w:lang w:val="es-MX" w:eastAsia="es-MX"/>
        </w:rPr>
      </w:pPr>
    </w:p>
    <w:p w14:paraId="6949B52E" w14:textId="507995E6" w:rsidR="00B77A9D" w:rsidRDefault="00FE008F" w:rsidP="005E5FC4">
      <w:r>
        <w:t>Durante la</w:t>
      </w:r>
      <w:r w:rsidR="00266A96">
        <w:t xml:space="preserve"> </w:t>
      </w:r>
      <w:r w:rsidR="006E147F">
        <w:t>Quinta</w:t>
      </w:r>
      <w:r>
        <w:t xml:space="preserve"> </w:t>
      </w:r>
      <w:r w:rsidRPr="00266A96">
        <w:t xml:space="preserve">Sesión </w:t>
      </w:r>
      <w:r w:rsidR="006E147F">
        <w:t>E</w:t>
      </w:r>
      <w:r w:rsidR="008C2F99">
        <w:t>x</w:t>
      </w:r>
      <w:r w:rsidR="006E147F">
        <w:t>trao</w:t>
      </w:r>
      <w:r w:rsidRPr="00266A96">
        <w:t>rdinaria de 201</w:t>
      </w:r>
      <w:r w:rsidR="008C2F99">
        <w:t>9</w:t>
      </w:r>
      <w:r w:rsidRPr="00266A96">
        <w:t>, s</w:t>
      </w:r>
      <w:r w:rsidR="000477CD" w:rsidRPr="00266A96">
        <w:t>e p</w:t>
      </w:r>
      <w:r w:rsidR="000477CD" w:rsidRPr="002645C1">
        <w:t xml:space="preserve">resentó al Comité de Transparencia el Plan Anual de Desarrollo </w:t>
      </w:r>
      <w:r w:rsidR="00A23A6E" w:rsidRPr="002645C1">
        <w:t>Archivístico 201</w:t>
      </w:r>
      <w:r w:rsidR="008C2F99">
        <w:t>9</w:t>
      </w:r>
      <w:r>
        <w:t xml:space="preserve"> (</w:t>
      </w:r>
      <w:r w:rsidRPr="002645C1">
        <w:t>PADA</w:t>
      </w:r>
      <w:r>
        <w:t>-201</w:t>
      </w:r>
      <w:r w:rsidR="006E147F">
        <w:t>9</w:t>
      </w:r>
      <w:r w:rsidRPr="002645C1">
        <w:t>)</w:t>
      </w:r>
      <w:r w:rsidR="000477CD" w:rsidRPr="002645C1">
        <w:t xml:space="preserve">, </w:t>
      </w:r>
      <w:r>
        <w:t xml:space="preserve">el cual </w:t>
      </w:r>
      <w:r w:rsidR="000477CD" w:rsidRPr="002645C1">
        <w:t xml:space="preserve">fue aprobado mediante Acuerdo </w:t>
      </w:r>
      <w:r w:rsidR="008C2F99">
        <w:t>EXT-OT-</w:t>
      </w:r>
      <w:r w:rsidR="001107AC">
        <w:t>05</w:t>
      </w:r>
      <w:r w:rsidR="000477CD" w:rsidRPr="002645C1">
        <w:t>/</w:t>
      </w:r>
      <w:r w:rsidR="008C2F99">
        <w:t>CT/04/</w:t>
      </w:r>
      <w:r w:rsidR="000477CD" w:rsidRPr="002645C1">
        <w:t>0</w:t>
      </w:r>
      <w:r w:rsidR="001107AC">
        <w:t>4</w:t>
      </w:r>
      <w:r w:rsidR="000477CD" w:rsidRPr="002645C1">
        <w:t>/201</w:t>
      </w:r>
      <w:r w:rsidR="008C2F99">
        <w:t>9</w:t>
      </w:r>
      <w:r w:rsidR="001107AC">
        <w:t>.0</w:t>
      </w:r>
      <w:r w:rsidR="008C2F99">
        <w:t>3</w:t>
      </w:r>
      <w:r w:rsidR="00B77A9D">
        <w:t>.</w:t>
      </w:r>
    </w:p>
    <w:p w14:paraId="10136D05" w14:textId="23E678E8" w:rsidR="00B77A9D" w:rsidRDefault="00B77A9D" w:rsidP="001B4DDC">
      <w:pPr>
        <w:spacing w:line="360" w:lineRule="auto"/>
        <w:rPr>
          <w:rFonts w:ascii="Arial" w:hAnsi="Arial" w:cs="Arial"/>
        </w:rPr>
      </w:pPr>
      <w:r>
        <w:rPr>
          <w:noProof/>
          <w:lang w:val="es-MX" w:eastAsia="es-MX"/>
        </w:rPr>
        <w:drawing>
          <wp:anchor distT="0" distB="0" distL="114300" distR="114300" simplePos="0" relativeHeight="251678720" behindDoc="0" locked="0" layoutInCell="1" allowOverlap="1" wp14:anchorId="48569964" wp14:editId="366E70D1">
            <wp:simplePos x="0" y="0"/>
            <wp:positionH relativeFrom="margin">
              <wp:posOffset>-64135</wp:posOffset>
            </wp:positionH>
            <wp:positionV relativeFrom="paragraph">
              <wp:posOffset>261620</wp:posOffset>
            </wp:positionV>
            <wp:extent cx="600075" cy="6000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14:paraId="07E92B6D" w14:textId="19BA58C9" w:rsidR="00032A3F" w:rsidRDefault="00032A3F" w:rsidP="00032A3F">
      <w:pPr>
        <w:rPr>
          <w:rFonts w:ascii="Arial" w:hAnsi="Arial" w:cs="Arial"/>
          <w:lang w:val="es-MX" w:eastAsia="es-MX"/>
        </w:rPr>
      </w:pPr>
      <w:r w:rsidRPr="00032A3F">
        <w:t>De conformidad con el</w:t>
      </w:r>
      <w:r w:rsidR="00991CFD" w:rsidRPr="00032A3F">
        <w:t xml:space="preserve"> </w:t>
      </w:r>
      <w:r w:rsidRPr="00032A3F">
        <w:rPr>
          <w:rFonts w:ascii="Arial" w:hAnsi="Arial" w:cs="Arial"/>
          <w:lang w:val="es-MX" w:eastAsia="es-MX"/>
        </w:rPr>
        <w:t>A</w:t>
      </w:r>
      <w:r>
        <w:rPr>
          <w:rFonts w:ascii="Arial" w:hAnsi="Arial" w:cs="Arial"/>
          <w:lang w:val="es-MX" w:eastAsia="es-MX"/>
        </w:rPr>
        <w:t xml:space="preserve">rtículo 12, fracción VI de la </w:t>
      </w:r>
      <w:r w:rsidR="00634851" w:rsidRPr="00634851">
        <w:rPr>
          <w:rFonts w:ascii="Arial" w:hAnsi="Arial" w:cs="Arial"/>
          <w:lang w:val="es-MX" w:eastAsia="es-MX"/>
        </w:rPr>
        <w:t>Ley Federal de Archivos</w:t>
      </w:r>
      <w:r>
        <w:rPr>
          <w:rFonts w:ascii="Arial" w:hAnsi="Arial" w:cs="Arial"/>
          <w:lang w:val="es-MX" w:eastAsia="es-MX"/>
        </w:rPr>
        <w:t>.</w:t>
      </w:r>
    </w:p>
    <w:p w14:paraId="6E4071EF" w14:textId="77777777" w:rsidR="00E12A19" w:rsidRPr="005E5FC4" w:rsidRDefault="00E12A19" w:rsidP="005E5FC4">
      <w:pPr>
        <w:rPr>
          <w:b/>
        </w:rPr>
      </w:pPr>
      <w:r w:rsidRPr="005E5FC4">
        <w:rPr>
          <w:b/>
        </w:rPr>
        <w:t>Avance: 100%</w:t>
      </w:r>
    </w:p>
    <w:p w14:paraId="0116014F" w14:textId="20049E32" w:rsidR="00475AEE" w:rsidRDefault="00475AEE" w:rsidP="001B4DDC">
      <w:pPr>
        <w:spacing w:line="360" w:lineRule="auto"/>
        <w:rPr>
          <w:rFonts w:ascii="Arial" w:hAnsi="Arial" w:cs="Arial"/>
          <w:b/>
        </w:rPr>
      </w:pPr>
    </w:p>
    <w:p w14:paraId="0A3202CC" w14:textId="62A5FCCF" w:rsidR="00991CFD" w:rsidRDefault="00991CFD" w:rsidP="001B4DDC">
      <w:pPr>
        <w:spacing w:line="360" w:lineRule="auto"/>
        <w:rPr>
          <w:rFonts w:ascii="Arial" w:hAnsi="Arial" w:cs="Arial"/>
          <w:b/>
        </w:rPr>
      </w:pPr>
    </w:p>
    <w:p w14:paraId="14E06D97" w14:textId="77777777" w:rsidR="005E626F" w:rsidRDefault="005E626F" w:rsidP="001B4DDC">
      <w:pPr>
        <w:spacing w:line="360" w:lineRule="auto"/>
        <w:rPr>
          <w:rFonts w:ascii="Arial" w:hAnsi="Arial" w:cs="Arial"/>
          <w:b/>
        </w:rPr>
      </w:pPr>
    </w:p>
    <w:p w14:paraId="5DE62DB4" w14:textId="4B68A1E6" w:rsidR="00345FF9" w:rsidRPr="005E5FC4" w:rsidRDefault="00452F6E" w:rsidP="000011C0">
      <w:pPr>
        <w:pStyle w:val="Ttulo3"/>
        <w:rPr>
          <w:lang w:val="es-MX" w:eastAsia="es-MX"/>
        </w:rPr>
      </w:pPr>
      <w:bookmarkStart w:id="6" w:name="_Toc25709529"/>
      <w:r w:rsidRPr="005E5FC4">
        <w:rPr>
          <w:lang w:val="es-MX" w:eastAsia="es-MX"/>
        </w:rPr>
        <w:t>1.1D</w:t>
      </w:r>
      <w:r w:rsidR="0025048D" w:rsidRPr="005E5FC4">
        <w:rPr>
          <w:lang w:val="es-MX" w:eastAsia="es-MX"/>
        </w:rPr>
        <w:t xml:space="preserve"> </w:t>
      </w:r>
      <w:r w:rsidR="00EA439D" w:rsidRPr="00EA439D">
        <w:rPr>
          <w:lang w:val="es-MX" w:eastAsia="es-MX"/>
        </w:rPr>
        <w:t>P</w:t>
      </w:r>
      <w:r w:rsidR="00826179" w:rsidRPr="00EA439D">
        <w:rPr>
          <w:lang w:val="es-MX" w:eastAsia="es-MX"/>
        </w:rPr>
        <w:t>re</w:t>
      </w:r>
      <w:r w:rsidR="00826179" w:rsidRPr="005E5FC4">
        <w:rPr>
          <w:lang w:val="es-MX" w:eastAsia="es-MX"/>
        </w:rPr>
        <w:t>sentar al Comité de Transparencia el Cuadro General de Clasificación Archivística, el Catálogo de Disposición D</w:t>
      </w:r>
      <w:r w:rsidR="00315805">
        <w:rPr>
          <w:lang w:val="es-MX" w:eastAsia="es-MX"/>
        </w:rPr>
        <w:t>ocumental y la Guía de Archivo D</w:t>
      </w:r>
      <w:r w:rsidR="00826179" w:rsidRPr="005E5FC4">
        <w:rPr>
          <w:lang w:val="es-MX" w:eastAsia="es-MX"/>
        </w:rPr>
        <w:t>ocumental 201</w:t>
      </w:r>
      <w:r w:rsidR="00616E23" w:rsidRPr="005E5FC4">
        <w:rPr>
          <w:lang w:val="es-MX" w:eastAsia="es-MX"/>
        </w:rPr>
        <w:t>8-2019</w:t>
      </w:r>
      <w:bookmarkEnd w:id="6"/>
    </w:p>
    <w:p w14:paraId="6D9B2108" w14:textId="77777777" w:rsidR="005E5FC4" w:rsidRDefault="005E5FC4" w:rsidP="005E5FC4">
      <w:pPr>
        <w:rPr>
          <w:lang w:val="es-MX" w:eastAsia="es-MX"/>
        </w:rPr>
      </w:pPr>
    </w:p>
    <w:p w14:paraId="49E787DF" w14:textId="574FEC3F" w:rsidR="00B77A9D" w:rsidRDefault="00266A96" w:rsidP="005E5FC4">
      <w:pPr>
        <w:rPr>
          <w:lang w:val="es-MX" w:eastAsia="es-MX"/>
        </w:rPr>
      </w:pPr>
      <w:r>
        <w:rPr>
          <w:lang w:val="es-MX" w:eastAsia="es-MX"/>
        </w:rPr>
        <w:t xml:space="preserve">Durante la </w:t>
      </w:r>
      <w:r w:rsidR="008C2F99">
        <w:rPr>
          <w:lang w:val="es-MX" w:eastAsia="es-MX"/>
        </w:rPr>
        <w:t>Quinta</w:t>
      </w:r>
      <w:r>
        <w:rPr>
          <w:lang w:val="es-MX" w:eastAsia="es-MX"/>
        </w:rPr>
        <w:t xml:space="preserve"> Sesión </w:t>
      </w:r>
      <w:r w:rsidR="008C2F99">
        <w:rPr>
          <w:lang w:val="es-MX" w:eastAsia="es-MX"/>
        </w:rPr>
        <w:t>Extrao</w:t>
      </w:r>
      <w:r>
        <w:rPr>
          <w:lang w:val="es-MX" w:eastAsia="es-MX"/>
        </w:rPr>
        <w:t xml:space="preserve">rdinaria del </w:t>
      </w:r>
      <w:r w:rsidR="003821DF" w:rsidRPr="003821DF">
        <w:rPr>
          <w:lang w:val="es-MX" w:eastAsia="es-MX"/>
        </w:rPr>
        <w:t xml:space="preserve">Comité de </w:t>
      </w:r>
      <w:r w:rsidR="003821DF">
        <w:rPr>
          <w:lang w:val="es-MX" w:eastAsia="es-MX"/>
        </w:rPr>
        <w:t>Transparencia</w:t>
      </w:r>
      <w:r>
        <w:rPr>
          <w:lang w:val="es-MX" w:eastAsia="es-MX"/>
        </w:rPr>
        <w:t>, se presentó</w:t>
      </w:r>
      <w:r w:rsidR="003821DF">
        <w:rPr>
          <w:lang w:val="es-MX" w:eastAsia="es-MX"/>
        </w:rPr>
        <w:t xml:space="preserve"> </w:t>
      </w:r>
      <w:r w:rsidR="003821DF" w:rsidRPr="003821DF">
        <w:rPr>
          <w:lang w:val="es-MX" w:eastAsia="es-MX"/>
        </w:rPr>
        <w:t xml:space="preserve">el Cuadro General de Clasificación Archivística, el Catálogo de Disposición Documental </w:t>
      </w:r>
      <w:r w:rsidR="00B104B0">
        <w:rPr>
          <w:lang w:val="es-MX" w:eastAsia="es-MX"/>
        </w:rPr>
        <w:t xml:space="preserve">2018-2019 </w:t>
      </w:r>
      <w:r w:rsidR="003821DF" w:rsidRPr="003821DF">
        <w:rPr>
          <w:lang w:val="es-MX" w:eastAsia="es-MX"/>
        </w:rPr>
        <w:t>y la</w:t>
      </w:r>
      <w:r w:rsidR="00315805">
        <w:rPr>
          <w:lang w:val="es-MX" w:eastAsia="es-MX"/>
        </w:rPr>
        <w:t xml:space="preserve"> Guía de Archivo D</w:t>
      </w:r>
      <w:r w:rsidR="00616E23">
        <w:rPr>
          <w:lang w:val="es-MX" w:eastAsia="es-MX"/>
        </w:rPr>
        <w:t>ocumental 2018</w:t>
      </w:r>
      <w:r w:rsidR="003821DF" w:rsidRPr="003821DF">
        <w:rPr>
          <w:lang w:val="es-MX" w:eastAsia="es-MX"/>
        </w:rPr>
        <w:t>, documentos que forman parte de los instrumentos de consulta y contro</w:t>
      </w:r>
      <w:r>
        <w:rPr>
          <w:lang w:val="es-MX" w:eastAsia="es-MX"/>
        </w:rPr>
        <w:t>l archivísticos institucionales, los cuales</w:t>
      </w:r>
      <w:r w:rsidR="003821DF" w:rsidRPr="003821DF">
        <w:rPr>
          <w:lang w:val="es-MX" w:eastAsia="es-MX"/>
        </w:rPr>
        <w:t xml:space="preserve"> fueron aprobados mediante Acuerdo </w:t>
      </w:r>
      <w:r w:rsidR="008C2F99">
        <w:t>EXT-OT-05</w:t>
      </w:r>
      <w:r w:rsidR="008C2F99" w:rsidRPr="002645C1">
        <w:t>/</w:t>
      </w:r>
      <w:r w:rsidR="008C2F99">
        <w:t>CT/04/</w:t>
      </w:r>
      <w:r w:rsidR="008C2F99" w:rsidRPr="002645C1">
        <w:t>0</w:t>
      </w:r>
      <w:r w:rsidR="008C2F99">
        <w:t>4</w:t>
      </w:r>
      <w:r w:rsidR="008C2F99" w:rsidRPr="002645C1">
        <w:t>/201</w:t>
      </w:r>
      <w:r w:rsidR="008C2F99">
        <w:t>9.03</w:t>
      </w:r>
      <w:r w:rsidR="00B77A9D">
        <w:rPr>
          <w:lang w:val="es-MX" w:eastAsia="es-MX"/>
        </w:rPr>
        <w:t>.</w:t>
      </w:r>
    </w:p>
    <w:p w14:paraId="33AAC582" w14:textId="34AACD0B" w:rsidR="00B77A9D" w:rsidRDefault="00B77A9D" w:rsidP="00135E66">
      <w:pPr>
        <w:rPr>
          <w:lang w:val="es-MX" w:eastAsia="es-MX"/>
        </w:rPr>
      </w:pPr>
    </w:p>
    <w:p w14:paraId="1788F564" w14:textId="7130D628" w:rsidR="00135E66" w:rsidRDefault="00135E66" w:rsidP="00135E66">
      <w:pPr>
        <w:rPr>
          <w:lang w:val="es-MX" w:eastAsia="es-MX"/>
        </w:rPr>
      </w:pPr>
    </w:p>
    <w:p w14:paraId="297EBE19" w14:textId="77777777" w:rsidR="00135E66" w:rsidRPr="004C299A" w:rsidRDefault="00135E66" w:rsidP="00135E66">
      <w:pPr>
        <w:rPr>
          <w:lang w:val="es-MX" w:eastAsia="es-MX"/>
        </w:rPr>
      </w:pPr>
      <w:r>
        <w:rPr>
          <w:noProof/>
          <w:lang w:val="es-MX" w:eastAsia="es-MX"/>
        </w:rPr>
        <w:drawing>
          <wp:anchor distT="0" distB="0" distL="114300" distR="114300" simplePos="0" relativeHeight="251739136" behindDoc="0" locked="0" layoutInCell="1" allowOverlap="1" wp14:anchorId="4B99E30F" wp14:editId="69A88CD7">
            <wp:simplePos x="0" y="0"/>
            <wp:positionH relativeFrom="margin">
              <wp:posOffset>0</wp:posOffset>
            </wp:positionH>
            <wp:positionV relativeFrom="paragraph">
              <wp:posOffset>20556</wp:posOffset>
            </wp:positionV>
            <wp:extent cx="600075" cy="6000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Pr>
          <w:lang w:val="es-MX" w:eastAsia="es-MX"/>
        </w:rPr>
        <w:t>D</w:t>
      </w:r>
      <w:r w:rsidRPr="003821DF">
        <w:rPr>
          <w:lang w:val="es-MX" w:eastAsia="es-MX"/>
        </w:rPr>
        <w:t>e conformidad con lo establecido en el artículo 12</w:t>
      </w:r>
      <w:r>
        <w:rPr>
          <w:lang w:val="es-MX" w:eastAsia="es-MX"/>
        </w:rPr>
        <w:t>,</w:t>
      </w:r>
      <w:r w:rsidRPr="003821DF">
        <w:rPr>
          <w:lang w:val="es-MX" w:eastAsia="es-MX"/>
        </w:rPr>
        <w:t xml:space="preserve"> fracción III y 19 de la Ley Federal de Archivos.</w:t>
      </w:r>
    </w:p>
    <w:p w14:paraId="7E4F8478" w14:textId="77777777" w:rsidR="00135E66" w:rsidRPr="008259CE" w:rsidRDefault="00135E66" w:rsidP="008259CE">
      <w:pPr>
        <w:rPr>
          <w:b/>
        </w:rPr>
      </w:pPr>
      <w:r w:rsidRPr="008259CE">
        <w:rPr>
          <w:b/>
        </w:rPr>
        <w:t>Avance: 100%</w:t>
      </w:r>
    </w:p>
    <w:p w14:paraId="197D2A58" w14:textId="67B7D064" w:rsidR="00135E66" w:rsidRDefault="00135E66" w:rsidP="00135E66">
      <w:pPr>
        <w:rPr>
          <w:lang w:val="es-MX" w:eastAsia="es-MX"/>
        </w:rPr>
      </w:pPr>
    </w:p>
    <w:p w14:paraId="09A0057A" w14:textId="415A7A5A" w:rsidR="003641B0" w:rsidRPr="001F7E2F" w:rsidRDefault="00452F6E" w:rsidP="000011C0">
      <w:pPr>
        <w:pStyle w:val="Ttulo3"/>
        <w:rPr>
          <w:lang w:val="es-MX" w:eastAsia="es-MX"/>
        </w:rPr>
      </w:pPr>
      <w:bookmarkStart w:id="7" w:name="_Toc25709530"/>
      <w:r w:rsidRPr="001F7E2F">
        <w:rPr>
          <w:lang w:val="es-MX" w:eastAsia="es-MX"/>
        </w:rPr>
        <w:lastRenderedPageBreak/>
        <w:t>1.1E</w:t>
      </w:r>
      <w:r w:rsidR="003641B0" w:rsidRPr="001F7E2F">
        <w:rPr>
          <w:lang w:val="es-MX" w:eastAsia="es-MX"/>
        </w:rPr>
        <w:t xml:space="preserve"> </w:t>
      </w:r>
      <w:r w:rsidR="000F727B" w:rsidRPr="001F7E2F">
        <w:rPr>
          <w:lang w:val="es-MX" w:eastAsia="es-MX"/>
        </w:rPr>
        <w:t>Presentar al Comité de Valoración Documental, la actualización del Manual de procedimientos de gestión</w:t>
      </w:r>
      <w:r w:rsidR="00C31462" w:rsidRPr="001F7E2F">
        <w:rPr>
          <w:lang w:val="es-MX" w:eastAsia="es-MX"/>
        </w:rPr>
        <w:t xml:space="preserve"> documental y archivos del INAI</w:t>
      </w:r>
      <w:bookmarkEnd w:id="7"/>
    </w:p>
    <w:p w14:paraId="644DC83E" w14:textId="77777777" w:rsidR="001F7E2F" w:rsidRPr="001F7E2F" w:rsidRDefault="001F7E2F" w:rsidP="001F7E2F">
      <w:pPr>
        <w:rPr>
          <w:lang w:val="es-MX" w:eastAsia="es-MX"/>
        </w:rPr>
      </w:pPr>
    </w:p>
    <w:p w14:paraId="1CE7046F" w14:textId="512B6E32" w:rsidR="00B77A9D" w:rsidRPr="001F7E2F" w:rsidRDefault="005A3762" w:rsidP="001F7E2F">
      <w:pPr>
        <w:rPr>
          <w:lang w:val="es-MX" w:eastAsia="es-MX"/>
        </w:rPr>
      </w:pPr>
      <w:r>
        <w:t xml:space="preserve">Si bien, ya se cuenta con la actualización del </w:t>
      </w:r>
      <w:r w:rsidR="00266A96" w:rsidRPr="001F7E2F">
        <w:t>Manual de procedimientos de gestión documental y archivos del INAI, s</w:t>
      </w:r>
      <w:r w:rsidR="001F7E2F" w:rsidRPr="001F7E2F">
        <w:t>e</w:t>
      </w:r>
      <w:r w:rsidR="008C2F99" w:rsidRPr="001F7E2F">
        <w:t xml:space="preserve"> </w:t>
      </w:r>
      <w:r>
        <w:t>presentará el mismo al</w:t>
      </w:r>
      <w:r w:rsidR="000F727B" w:rsidRPr="001F7E2F">
        <w:t xml:space="preserve"> Comité de Valoraci</w:t>
      </w:r>
      <w:r w:rsidR="00266A96" w:rsidRPr="001F7E2F">
        <w:t xml:space="preserve">ón Documental </w:t>
      </w:r>
      <w:r>
        <w:t>en la primera sesión</w:t>
      </w:r>
      <w:r w:rsidR="008C2F99" w:rsidRPr="001F7E2F">
        <w:t xml:space="preserve"> </w:t>
      </w:r>
      <w:r w:rsidR="00135E66">
        <w:t xml:space="preserve">de </w:t>
      </w:r>
      <w:r>
        <w:t>2020, toda vez que se estaba a la espera de la aprobación de las modificaciones del Reglamento de operación de dicho Comité.</w:t>
      </w:r>
    </w:p>
    <w:p w14:paraId="04929667" w14:textId="77777777" w:rsidR="00B77A9D" w:rsidRPr="001F7E2F" w:rsidRDefault="00B77A9D" w:rsidP="001B4DDC">
      <w:pPr>
        <w:spacing w:line="360" w:lineRule="auto"/>
        <w:rPr>
          <w:rFonts w:ascii="Arial" w:hAnsi="Arial" w:cs="Arial"/>
          <w:lang w:val="es-MX" w:eastAsia="es-MX"/>
        </w:rPr>
      </w:pPr>
    </w:p>
    <w:p w14:paraId="128F545D" w14:textId="6F2C23D1" w:rsidR="00CC79D0" w:rsidRPr="007D6D9C" w:rsidRDefault="00B77A9D" w:rsidP="00D456E4">
      <w:pPr>
        <w:rPr>
          <w:highlight w:val="yellow"/>
        </w:rPr>
      </w:pPr>
      <w:r w:rsidRPr="001F7E2F">
        <w:rPr>
          <w:noProof/>
          <w:lang w:val="es-MX" w:eastAsia="es-MX"/>
        </w:rPr>
        <w:drawing>
          <wp:anchor distT="0" distB="0" distL="114300" distR="114300" simplePos="0" relativeHeight="251684864" behindDoc="0" locked="0" layoutInCell="1" allowOverlap="1" wp14:anchorId="0B5A5DC3" wp14:editId="537ADA10">
            <wp:simplePos x="0" y="0"/>
            <wp:positionH relativeFrom="margin">
              <wp:posOffset>0</wp:posOffset>
            </wp:positionH>
            <wp:positionV relativeFrom="paragraph">
              <wp:posOffset>21191</wp:posOffset>
            </wp:positionV>
            <wp:extent cx="600075" cy="60007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1F7E2F">
        <w:rPr>
          <w:lang w:val="es-MX" w:eastAsia="es-MX"/>
        </w:rPr>
        <w:t>D</w:t>
      </w:r>
      <w:r w:rsidR="000F727B" w:rsidRPr="001F7E2F">
        <w:rPr>
          <w:lang w:val="es-MX" w:eastAsia="es-MX"/>
        </w:rPr>
        <w:t>e conformidad con lo establecido en el artículo 4</w:t>
      </w:r>
      <w:r w:rsidR="00A23A6E" w:rsidRPr="001F7E2F">
        <w:rPr>
          <w:lang w:val="es-MX" w:eastAsia="es-MX"/>
        </w:rPr>
        <w:t>,</w:t>
      </w:r>
      <w:r w:rsidR="000F727B" w:rsidRPr="001F7E2F">
        <w:rPr>
          <w:lang w:val="es-MX" w:eastAsia="es-MX"/>
        </w:rPr>
        <w:t xml:space="preserve"> fracción II del Reglamento de operación del Comité de Valoración Documental del INAI</w:t>
      </w:r>
      <w:r w:rsidR="00266A96" w:rsidRPr="001F7E2F">
        <w:rPr>
          <w:lang w:val="es-MX" w:eastAsia="es-MX"/>
        </w:rPr>
        <w:t>.</w:t>
      </w:r>
    </w:p>
    <w:p w14:paraId="78325F1F" w14:textId="2836FF5D" w:rsidR="001B4DDC" w:rsidRPr="00291EC7" w:rsidRDefault="008E06A5" w:rsidP="008D4EEF">
      <w:pPr>
        <w:rPr>
          <w:b/>
        </w:rPr>
      </w:pPr>
      <w:r w:rsidRPr="005A3762">
        <w:rPr>
          <w:b/>
        </w:rPr>
        <w:t>Avance:</w:t>
      </w:r>
      <w:r w:rsidR="00A9738F">
        <w:rPr>
          <w:b/>
        </w:rPr>
        <w:t xml:space="preserve"> </w:t>
      </w:r>
      <w:r w:rsidR="00CB234E">
        <w:rPr>
          <w:b/>
        </w:rPr>
        <w:t>5</w:t>
      </w:r>
      <w:r w:rsidR="005A3762" w:rsidRPr="005A3762">
        <w:rPr>
          <w:b/>
        </w:rPr>
        <w:t>0</w:t>
      </w:r>
      <w:r w:rsidR="001B4DDC" w:rsidRPr="005A3762">
        <w:rPr>
          <w:b/>
        </w:rPr>
        <w:t>%</w:t>
      </w:r>
    </w:p>
    <w:p w14:paraId="3F7812CF" w14:textId="1FBFB56A" w:rsidR="003641B0" w:rsidRDefault="003641B0" w:rsidP="001B4DDC">
      <w:pPr>
        <w:spacing w:line="360" w:lineRule="auto"/>
        <w:rPr>
          <w:rFonts w:ascii="Arial" w:hAnsi="Arial" w:cs="Arial"/>
          <w:highlight w:val="yellow"/>
          <w:lang w:val="es-MX" w:eastAsia="es-MX"/>
        </w:rPr>
      </w:pPr>
    </w:p>
    <w:p w14:paraId="189F64D9" w14:textId="77777777" w:rsidR="005E626F" w:rsidRDefault="005E626F" w:rsidP="001B4DDC">
      <w:pPr>
        <w:spacing w:line="360" w:lineRule="auto"/>
        <w:rPr>
          <w:rFonts w:ascii="Arial" w:hAnsi="Arial" w:cs="Arial"/>
          <w:highlight w:val="yellow"/>
          <w:lang w:val="es-MX" w:eastAsia="es-MX"/>
        </w:rPr>
      </w:pPr>
    </w:p>
    <w:p w14:paraId="7C76746D" w14:textId="12DC876A" w:rsidR="003641B0" w:rsidRPr="00874BB0" w:rsidRDefault="000F727B" w:rsidP="000011C0">
      <w:pPr>
        <w:pStyle w:val="Ttulo3"/>
        <w:rPr>
          <w:lang w:val="es-MX" w:eastAsia="es-MX"/>
        </w:rPr>
      </w:pPr>
      <w:bookmarkStart w:id="8" w:name="_Toc25709531"/>
      <w:r w:rsidRPr="00874BB0">
        <w:rPr>
          <w:lang w:val="es-MX" w:eastAsia="es-MX"/>
        </w:rPr>
        <w:t>1.1F</w:t>
      </w:r>
      <w:r w:rsidR="003821DF" w:rsidRPr="00874BB0">
        <w:rPr>
          <w:lang w:val="es-MX" w:eastAsia="es-MX"/>
        </w:rPr>
        <w:t xml:space="preserve"> Presentar al Comité de </w:t>
      </w:r>
      <w:r w:rsidRPr="00874BB0">
        <w:rPr>
          <w:lang w:val="es-MX" w:eastAsia="es-MX"/>
        </w:rPr>
        <w:t>Transparencia la actualización del Manual de procedimientos de gestión documental y archivos del INAI</w:t>
      </w:r>
      <w:r w:rsidR="001F7E2F" w:rsidRPr="00874BB0">
        <w:rPr>
          <w:lang w:val="es-MX" w:eastAsia="es-MX"/>
        </w:rPr>
        <w:t>.</w:t>
      </w:r>
      <w:bookmarkEnd w:id="8"/>
    </w:p>
    <w:p w14:paraId="5C502D5D" w14:textId="77777777" w:rsidR="001F7E2F" w:rsidRPr="001F7E2F" w:rsidRDefault="001F7E2F" w:rsidP="001F7E2F">
      <w:pPr>
        <w:rPr>
          <w:highlight w:val="yellow"/>
          <w:lang w:val="es-MX" w:eastAsia="es-MX"/>
        </w:rPr>
      </w:pPr>
    </w:p>
    <w:p w14:paraId="30F9A3EB" w14:textId="0C7F3A5A" w:rsidR="005A3762" w:rsidRPr="001F7E2F" w:rsidRDefault="005A3762" w:rsidP="005A3762">
      <w:pPr>
        <w:rPr>
          <w:lang w:val="es-MX" w:eastAsia="es-MX"/>
        </w:rPr>
      </w:pPr>
      <w:r>
        <w:t xml:space="preserve">Si bien, ya se cuenta con la actualización del </w:t>
      </w:r>
      <w:r w:rsidRPr="001F7E2F">
        <w:t xml:space="preserve">Manual de procedimientos de gestión documental y archivos del INAI, se </w:t>
      </w:r>
      <w:r>
        <w:t>presentará el mismo al</w:t>
      </w:r>
      <w:r w:rsidRPr="001F7E2F">
        <w:t xml:space="preserve"> Comité de </w:t>
      </w:r>
      <w:r>
        <w:t>Transparencia</w:t>
      </w:r>
      <w:r w:rsidRPr="001F7E2F">
        <w:t xml:space="preserve"> </w:t>
      </w:r>
      <w:r>
        <w:t>en la primera sesión</w:t>
      </w:r>
      <w:r w:rsidRPr="001F7E2F">
        <w:t xml:space="preserve"> </w:t>
      </w:r>
      <w:r>
        <w:t>de 2020, toda vez que se estaba a la espera de la aprobación de las modificaciones del Reglamento de operación de dicho Comité.</w:t>
      </w:r>
    </w:p>
    <w:p w14:paraId="261FCA22" w14:textId="77777777" w:rsidR="00891F96" w:rsidRPr="007D6D9C" w:rsidRDefault="00891F96" w:rsidP="00123983">
      <w:pPr>
        <w:spacing w:line="360" w:lineRule="auto"/>
        <w:rPr>
          <w:rFonts w:ascii="Arial" w:hAnsi="Arial" w:cs="Arial"/>
          <w:highlight w:val="yellow"/>
          <w:lang w:val="es-MX" w:eastAsia="es-MX"/>
        </w:rPr>
      </w:pPr>
    </w:p>
    <w:p w14:paraId="438FC9BB" w14:textId="32165AE6" w:rsidR="00056D6F" w:rsidRPr="00291EC7" w:rsidRDefault="00891F96" w:rsidP="00385BA1">
      <w:pPr>
        <w:rPr>
          <w:lang w:val="es-MX" w:eastAsia="es-MX"/>
        </w:rPr>
      </w:pPr>
      <w:r w:rsidRPr="00291EC7">
        <w:rPr>
          <w:noProof/>
          <w:lang w:val="es-MX" w:eastAsia="es-MX"/>
        </w:rPr>
        <w:drawing>
          <wp:anchor distT="0" distB="0" distL="114300" distR="114300" simplePos="0" relativeHeight="251686912" behindDoc="0" locked="0" layoutInCell="1" allowOverlap="1" wp14:anchorId="3EF13C58" wp14:editId="3C5B8918">
            <wp:simplePos x="0" y="0"/>
            <wp:positionH relativeFrom="margin">
              <wp:posOffset>0</wp:posOffset>
            </wp:positionH>
            <wp:positionV relativeFrom="paragraph">
              <wp:posOffset>9924</wp:posOffset>
            </wp:positionV>
            <wp:extent cx="600075" cy="60007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291EC7">
        <w:rPr>
          <w:lang w:val="es-MX" w:eastAsia="es-MX"/>
        </w:rPr>
        <w:t>D</w:t>
      </w:r>
      <w:r w:rsidR="00056D6F" w:rsidRPr="00291EC7">
        <w:rPr>
          <w:lang w:val="es-MX" w:eastAsia="es-MX"/>
        </w:rPr>
        <w:t>e conformidad co</w:t>
      </w:r>
      <w:r w:rsidR="00A23A6E" w:rsidRPr="00291EC7">
        <w:rPr>
          <w:lang w:val="es-MX" w:eastAsia="es-MX"/>
        </w:rPr>
        <w:t xml:space="preserve">n lo establecido en el artículo </w:t>
      </w:r>
      <w:r w:rsidR="000F727B" w:rsidRPr="00291EC7">
        <w:rPr>
          <w:lang w:val="es-MX" w:eastAsia="es-MX"/>
        </w:rPr>
        <w:t>38</w:t>
      </w:r>
      <w:r w:rsidR="00A23A6E" w:rsidRPr="00291EC7">
        <w:rPr>
          <w:lang w:val="es-MX" w:eastAsia="es-MX"/>
        </w:rPr>
        <w:t>,</w:t>
      </w:r>
      <w:r w:rsidR="000F727B" w:rsidRPr="00291EC7">
        <w:rPr>
          <w:lang w:val="es-MX" w:eastAsia="es-MX"/>
        </w:rPr>
        <w:t xml:space="preserve"> fracción I del Reglamento Interno del Comité de Transparencia del INAI.</w:t>
      </w:r>
    </w:p>
    <w:p w14:paraId="34813070" w14:textId="2CBE9419" w:rsidR="00123983" w:rsidRPr="00291EC7" w:rsidRDefault="00F03C2C" w:rsidP="00291EC7">
      <w:pPr>
        <w:rPr>
          <w:b/>
        </w:rPr>
      </w:pPr>
      <w:r w:rsidRPr="005A3762">
        <w:rPr>
          <w:b/>
        </w:rPr>
        <w:t xml:space="preserve">Avance: </w:t>
      </w:r>
      <w:r w:rsidR="00CB234E">
        <w:rPr>
          <w:b/>
        </w:rPr>
        <w:t>5</w:t>
      </w:r>
      <w:r w:rsidR="00266A96" w:rsidRPr="005A3762">
        <w:rPr>
          <w:b/>
        </w:rPr>
        <w:t>0</w:t>
      </w:r>
      <w:r w:rsidR="00123983" w:rsidRPr="005A3762">
        <w:rPr>
          <w:b/>
        </w:rPr>
        <w:t>%</w:t>
      </w:r>
    </w:p>
    <w:p w14:paraId="44F2152A" w14:textId="3E0BBDA5" w:rsidR="006234AB" w:rsidRDefault="006234AB" w:rsidP="006234AB">
      <w:pPr>
        <w:pStyle w:val="Default"/>
        <w:ind w:left="1080"/>
        <w:rPr>
          <w:b/>
          <w:sz w:val="28"/>
          <w:szCs w:val="28"/>
        </w:rPr>
      </w:pPr>
      <w:bookmarkStart w:id="9" w:name="_GoBack"/>
      <w:bookmarkEnd w:id="9"/>
    </w:p>
    <w:p w14:paraId="63773908" w14:textId="7A91B5F3" w:rsidR="005E626F" w:rsidRDefault="005E626F" w:rsidP="006234AB">
      <w:pPr>
        <w:pStyle w:val="Default"/>
        <w:ind w:left="1080"/>
        <w:rPr>
          <w:b/>
          <w:sz w:val="28"/>
          <w:szCs w:val="28"/>
        </w:rPr>
      </w:pPr>
    </w:p>
    <w:p w14:paraId="42FE3033" w14:textId="57934509" w:rsidR="005E626F" w:rsidRDefault="005E626F" w:rsidP="006234AB">
      <w:pPr>
        <w:pStyle w:val="Default"/>
        <w:ind w:left="1080"/>
        <w:rPr>
          <w:b/>
          <w:sz w:val="28"/>
          <w:szCs w:val="28"/>
        </w:rPr>
      </w:pPr>
    </w:p>
    <w:p w14:paraId="47CC3F2A" w14:textId="05BC3FEE" w:rsidR="005E626F" w:rsidRDefault="005E626F" w:rsidP="006234AB">
      <w:pPr>
        <w:pStyle w:val="Default"/>
        <w:ind w:left="1080"/>
        <w:rPr>
          <w:b/>
          <w:sz w:val="28"/>
          <w:szCs w:val="28"/>
        </w:rPr>
      </w:pPr>
    </w:p>
    <w:p w14:paraId="21ED33D4" w14:textId="369A6F90" w:rsidR="005E626F" w:rsidRDefault="005E626F" w:rsidP="006234AB">
      <w:pPr>
        <w:pStyle w:val="Default"/>
        <w:ind w:left="1080"/>
        <w:rPr>
          <w:b/>
          <w:sz w:val="28"/>
          <w:szCs w:val="28"/>
        </w:rPr>
      </w:pPr>
    </w:p>
    <w:p w14:paraId="5DB6B563" w14:textId="77777777" w:rsidR="005E626F" w:rsidRDefault="005E626F" w:rsidP="006234AB">
      <w:pPr>
        <w:pStyle w:val="Default"/>
        <w:ind w:left="1080"/>
        <w:rPr>
          <w:b/>
          <w:sz w:val="28"/>
          <w:szCs w:val="28"/>
        </w:rPr>
      </w:pPr>
    </w:p>
    <w:p w14:paraId="3A052C6E" w14:textId="33160972" w:rsidR="009F2A83" w:rsidRDefault="009F2A83" w:rsidP="000011C0">
      <w:pPr>
        <w:pStyle w:val="Ttulo3"/>
        <w:rPr>
          <w:highlight w:val="yellow"/>
          <w:lang w:val="es-MX" w:eastAsia="es-MX"/>
        </w:rPr>
      </w:pPr>
      <w:bookmarkStart w:id="10" w:name="_Toc25709532"/>
      <w:r w:rsidRPr="007E5D7C">
        <w:rPr>
          <w:lang w:val="es-MX" w:eastAsia="es-MX"/>
        </w:rPr>
        <w:lastRenderedPageBreak/>
        <w:t xml:space="preserve">1.1G Elaborar el Calendario de Caducidades Documentales del archivo de concentración 2019, de los expedientes transferidos al archivo de </w:t>
      </w:r>
      <w:r w:rsidRPr="00923724">
        <w:rPr>
          <w:lang w:val="es-MX" w:eastAsia="es-MX"/>
        </w:rPr>
        <w:t>concentración</w:t>
      </w:r>
      <w:r w:rsidR="007E5D7C" w:rsidRPr="00923724">
        <w:rPr>
          <w:lang w:val="es-MX" w:eastAsia="es-MX"/>
        </w:rPr>
        <w:t>.</w:t>
      </w:r>
      <w:bookmarkEnd w:id="10"/>
    </w:p>
    <w:p w14:paraId="730FCE34" w14:textId="77777777" w:rsidR="007E5D7C" w:rsidRPr="008259CE" w:rsidRDefault="007E5D7C" w:rsidP="007E5D7C">
      <w:pPr>
        <w:rPr>
          <w:lang w:val="es-MX" w:eastAsia="es-MX"/>
        </w:rPr>
      </w:pPr>
    </w:p>
    <w:p w14:paraId="73865B3D" w14:textId="27EE34F9" w:rsidR="009F2A83" w:rsidRDefault="007E5D7C" w:rsidP="008259CE">
      <w:pPr>
        <w:rPr>
          <w:lang w:val="es-MX" w:eastAsia="es-MX"/>
        </w:rPr>
      </w:pPr>
      <w:r w:rsidRPr="008259CE">
        <w:rPr>
          <w:lang w:val="es-MX" w:eastAsia="es-MX"/>
        </w:rPr>
        <w:t>El Calendario de caducidades d</w:t>
      </w:r>
      <w:r w:rsidR="009F2A83" w:rsidRPr="008259CE">
        <w:rPr>
          <w:lang w:val="es-MX" w:eastAsia="es-MX"/>
        </w:rPr>
        <w:t>ocumentales</w:t>
      </w:r>
      <w:r w:rsidR="003016CB">
        <w:rPr>
          <w:lang w:val="es-MX" w:eastAsia="es-MX"/>
        </w:rPr>
        <w:t xml:space="preserve"> del Archivo de Concentración </w:t>
      </w:r>
      <w:r w:rsidR="009F2A83" w:rsidRPr="008259CE">
        <w:rPr>
          <w:lang w:val="es-MX" w:eastAsia="es-MX"/>
        </w:rPr>
        <w:t xml:space="preserve">fue presentado en </w:t>
      </w:r>
      <w:r w:rsidRPr="008259CE">
        <w:rPr>
          <w:lang w:val="es-MX" w:eastAsia="es-MX"/>
        </w:rPr>
        <w:t>la Primera Sesión Ordinaria 2019</w:t>
      </w:r>
      <w:r w:rsidR="009F2A83" w:rsidRPr="008259CE">
        <w:rPr>
          <w:lang w:val="es-MX" w:eastAsia="es-MX"/>
        </w:rPr>
        <w:t xml:space="preserve"> del C</w:t>
      </w:r>
      <w:r w:rsidR="008259CE" w:rsidRPr="008259CE">
        <w:rPr>
          <w:lang w:val="es-MX" w:eastAsia="es-MX"/>
        </w:rPr>
        <w:t>omité de Valoración Documental</w:t>
      </w:r>
      <w:r w:rsidR="005E626F">
        <w:rPr>
          <w:lang w:val="es-MX" w:eastAsia="es-MX"/>
        </w:rPr>
        <w:t xml:space="preserve">, el cual fue aprobado mediante </w:t>
      </w:r>
      <w:r w:rsidR="005E626F" w:rsidRPr="005E626F">
        <w:rPr>
          <w:lang w:val="es-MX" w:eastAsia="es-MX"/>
        </w:rPr>
        <w:t>ACUERDO CVD-05/03/2019.06</w:t>
      </w:r>
      <w:r w:rsidR="008259CE" w:rsidRPr="008259CE">
        <w:rPr>
          <w:lang w:val="es-MX" w:eastAsia="es-MX"/>
        </w:rPr>
        <w:t>.</w:t>
      </w:r>
    </w:p>
    <w:p w14:paraId="3DB005DC" w14:textId="77777777" w:rsidR="00923724" w:rsidRPr="008259CE" w:rsidRDefault="00923724" w:rsidP="008259CE">
      <w:pPr>
        <w:rPr>
          <w:lang w:val="es-MX" w:eastAsia="es-MX"/>
        </w:rPr>
      </w:pPr>
    </w:p>
    <w:p w14:paraId="044A3E0F" w14:textId="77777777" w:rsidR="009F2A83" w:rsidRPr="00755E6A" w:rsidRDefault="009F2A83" w:rsidP="00D456E4">
      <w:pPr>
        <w:rPr>
          <w:lang w:val="es-MX" w:eastAsia="es-MX"/>
        </w:rPr>
      </w:pPr>
      <w:r w:rsidRPr="00755E6A">
        <w:rPr>
          <w:noProof/>
          <w:lang w:val="es-MX" w:eastAsia="es-MX"/>
        </w:rPr>
        <w:drawing>
          <wp:anchor distT="0" distB="0" distL="114300" distR="114300" simplePos="0" relativeHeight="251697152" behindDoc="0" locked="0" layoutInCell="1" allowOverlap="1" wp14:anchorId="1730928F" wp14:editId="3D732A00">
            <wp:simplePos x="0" y="0"/>
            <wp:positionH relativeFrom="margin">
              <wp:posOffset>0</wp:posOffset>
            </wp:positionH>
            <wp:positionV relativeFrom="paragraph">
              <wp:posOffset>63722</wp:posOffset>
            </wp:positionV>
            <wp:extent cx="600075" cy="60007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755E6A">
        <w:rPr>
          <w:lang w:val="es-MX" w:eastAsia="es-MX"/>
        </w:rPr>
        <w:t>De conformidad con lo establecido en el artículo 12, fracciones I y VII de la Ley Federal de Archivos.</w:t>
      </w:r>
    </w:p>
    <w:p w14:paraId="0F255DCC" w14:textId="49DF3613" w:rsidR="008C2F99" w:rsidRPr="00291EC7" w:rsidRDefault="009F2A83" w:rsidP="00291EC7">
      <w:pPr>
        <w:rPr>
          <w:b/>
          <w:lang w:val="es-MX" w:eastAsia="es-MX"/>
        </w:rPr>
      </w:pPr>
      <w:r w:rsidRPr="00755E6A">
        <w:rPr>
          <w:b/>
          <w:lang w:val="es-MX" w:eastAsia="es-MX"/>
        </w:rPr>
        <w:t>Avance: 100%</w:t>
      </w:r>
    </w:p>
    <w:p w14:paraId="132A402F" w14:textId="2E3EB578" w:rsidR="00F03C2C" w:rsidRDefault="00F03C2C" w:rsidP="00EA439D">
      <w:pPr>
        <w:spacing w:line="360" w:lineRule="auto"/>
        <w:rPr>
          <w:rFonts w:ascii="Arial" w:hAnsi="Arial" w:cs="Arial"/>
          <w:b/>
          <w:lang w:val="es-MX" w:eastAsia="es-MX"/>
        </w:rPr>
      </w:pPr>
    </w:p>
    <w:p w14:paraId="36C49024" w14:textId="47434539" w:rsidR="005E626F" w:rsidRDefault="005E626F" w:rsidP="00EA439D">
      <w:pPr>
        <w:spacing w:line="360" w:lineRule="auto"/>
        <w:rPr>
          <w:rFonts w:ascii="Arial" w:hAnsi="Arial" w:cs="Arial"/>
          <w:b/>
          <w:lang w:val="es-MX" w:eastAsia="es-MX"/>
        </w:rPr>
      </w:pPr>
    </w:p>
    <w:p w14:paraId="7AC368F4" w14:textId="77777777" w:rsidR="005E626F" w:rsidRDefault="005E626F" w:rsidP="00EA439D">
      <w:pPr>
        <w:spacing w:line="360" w:lineRule="auto"/>
        <w:rPr>
          <w:rFonts w:ascii="Arial" w:hAnsi="Arial" w:cs="Arial"/>
          <w:b/>
          <w:lang w:val="es-MX" w:eastAsia="es-MX"/>
        </w:rPr>
      </w:pPr>
    </w:p>
    <w:p w14:paraId="1622BA90" w14:textId="03E19E84" w:rsidR="0026561D" w:rsidRPr="00D456E4" w:rsidRDefault="001F7E2F" w:rsidP="008C32B4">
      <w:pPr>
        <w:pStyle w:val="Ttulo2"/>
      </w:pPr>
      <w:bookmarkStart w:id="11" w:name="_Toc25709533"/>
      <w:r w:rsidRPr="00D456E4">
        <w:t>1.2</w:t>
      </w:r>
      <w:r w:rsidR="00EA439D" w:rsidRPr="00D456E4">
        <w:t xml:space="preserve"> </w:t>
      </w:r>
      <w:r w:rsidRPr="00D456E4">
        <w:tab/>
      </w:r>
      <w:r w:rsidR="009F2A83" w:rsidRPr="008C32B4">
        <w:t>O</w:t>
      </w:r>
      <w:r w:rsidR="00874BB0" w:rsidRPr="008C32B4">
        <w:t>PERACIÓN</w:t>
      </w:r>
      <w:bookmarkEnd w:id="11"/>
    </w:p>
    <w:p w14:paraId="4D5BD2AB" w14:textId="01B68D2B" w:rsidR="0026561D" w:rsidRDefault="0026561D" w:rsidP="00CA7687">
      <w:pPr>
        <w:pStyle w:val="Default"/>
        <w:jc w:val="both"/>
      </w:pPr>
    </w:p>
    <w:p w14:paraId="5BE4BB25" w14:textId="4DDE6E61" w:rsidR="00B52B97" w:rsidRDefault="006D61EB" w:rsidP="000011C0">
      <w:pPr>
        <w:pStyle w:val="Ttulo3"/>
      </w:pPr>
      <w:bookmarkStart w:id="12" w:name="_Toc25709534"/>
      <w:r w:rsidRPr="00991CFD">
        <w:t>1.2</w:t>
      </w:r>
      <w:r w:rsidR="009F2A83" w:rsidRPr="00991CFD">
        <w:t>A</w:t>
      </w:r>
      <w:r w:rsidR="00056D6F" w:rsidRPr="00991CFD">
        <w:t xml:space="preserve"> </w:t>
      </w:r>
      <w:r w:rsidR="00927AB4" w:rsidRPr="00991CFD">
        <w:t>Supervisar las condiciones de resguardo de los expedientes</w:t>
      </w:r>
      <w:r w:rsidR="00FB2094" w:rsidRPr="00991CFD">
        <w:t xml:space="preserve"> en la instalación alterna.</w:t>
      </w:r>
      <w:bookmarkEnd w:id="12"/>
    </w:p>
    <w:p w14:paraId="49C6D7B3" w14:textId="77777777" w:rsidR="00385BA1" w:rsidRPr="00385BA1" w:rsidRDefault="00385BA1" w:rsidP="00385BA1"/>
    <w:p w14:paraId="70E9C815" w14:textId="3CB40964" w:rsidR="009A28C4" w:rsidRDefault="00162183" w:rsidP="009A28C4">
      <w:r w:rsidRPr="009A28C4">
        <w:t>Como</w:t>
      </w:r>
      <w:r w:rsidR="009A28C4" w:rsidRPr="009A28C4">
        <w:t xml:space="preserve"> una medida para ampliar los espacios para el</w:t>
      </w:r>
      <w:r w:rsidRPr="009A28C4">
        <w:t xml:space="preserve"> resguardo de los expedientes transferi</w:t>
      </w:r>
      <w:r w:rsidR="009A28C4" w:rsidRPr="009A28C4">
        <w:t xml:space="preserve">dos al </w:t>
      </w:r>
      <w:r w:rsidR="00365709">
        <w:t>Archivo de Concentración</w:t>
      </w:r>
      <w:r w:rsidR="00977766">
        <w:t xml:space="preserve"> del INAI</w:t>
      </w:r>
      <w:r w:rsidR="00365709">
        <w:t>,</w:t>
      </w:r>
      <w:r w:rsidR="009A28C4" w:rsidRPr="009A28C4">
        <w:t xml:space="preserve"> </w:t>
      </w:r>
      <w:r w:rsidR="00977766">
        <w:t>en 2019 se refrendó</w:t>
      </w:r>
      <w:r w:rsidR="00365709">
        <w:t xml:space="preserve"> la contratación de </w:t>
      </w:r>
      <w:r w:rsidR="00991CFD" w:rsidRPr="009A28C4">
        <w:t xml:space="preserve">un servicio externalizado </w:t>
      </w:r>
      <w:r w:rsidRPr="009A28C4">
        <w:t>de guarda, custodia, búsqueda, traslado y/o digitalización y envío elec</w:t>
      </w:r>
      <w:r w:rsidR="00977766">
        <w:t xml:space="preserve">trónico de </w:t>
      </w:r>
      <w:r w:rsidR="007E5D7C">
        <w:t xml:space="preserve">los </w:t>
      </w:r>
      <w:r w:rsidR="00977766">
        <w:t>expedientes</w:t>
      </w:r>
      <w:r w:rsidR="007E5D7C" w:rsidRPr="007E5D7C">
        <w:t xml:space="preserve"> </w:t>
      </w:r>
      <w:r w:rsidR="007E5D7C">
        <w:t>que cumplen plazo precautorio en el Archivo de Concentración</w:t>
      </w:r>
      <w:r w:rsidR="00977766">
        <w:t>.</w:t>
      </w:r>
    </w:p>
    <w:p w14:paraId="54AFA066" w14:textId="77777777" w:rsidR="009A28C4" w:rsidRPr="009A28C4" w:rsidRDefault="009A28C4" w:rsidP="009A28C4"/>
    <w:p w14:paraId="03AE2BEF" w14:textId="7711CD99" w:rsidR="00162183" w:rsidRDefault="009A28C4" w:rsidP="009A28C4">
      <w:r w:rsidRPr="00365709">
        <w:t xml:space="preserve">Como parte de </w:t>
      </w:r>
      <w:r w:rsidR="00032A3F">
        <w:t>este servicio</w:t>
      </w:r>
      <w:r w:rsidR="00977766">
        <w:t>, en</w:t>
      </w:r>
      <w:r w:rsidR="00977766" w:rsidRPr="00365709">
        <w:t xml:space="preserve"> </w:t>
      </w:r>
      <w:r w:rsidR="00032A3F">
        <w:t xml:space="preserve">diciembre </w:t>
      </w:r>
      <w:r w:rsidR="00977766" w:rsidRPr="00365709">
        <w:t>de 2019</w:t>
      </w:r>
      <w:r w:rsidR="00977766">
        <w:t xml:space="preserve"> </w:t>
      </w:r>
      <w:r w:rsidR="00977766" w:rsidRPr="00365709">
        <w:t>se llev</w:t>
      </w:r>
      <w:r w:rsidR="00977766">
        <w:t xml:space="preserve">ó </w:t>
      </w:r>
      <w:r w:rsidR="00977766" w:rsidRPr="00365709">
        <w:t xml:space="preserve">cabo </w:t>
      </w:r>
      <w:r w:rsidR="00977766">
        <w:t>el traslado de la siguiente documentación hacia</w:t>
      </w:r>
      <w:r w:rsidRPr="00365709">
        <w:t xml:space="preserve"> </w:t>
      </w:r>
      <w:r w:rsidR="00755E6A">
        <w:t xml:space="preserve">la </w:t>
      </w:r>
      <w:r w:rsidR="00977766" w:rsidRPr="00365709">
        <w:t>empresa Pay per Box</w:t>
      </w:r>
      <w:r w:rsidR="00977766">
        <w:t>, la cual es la prestadora de dicho</w:t>
      </w:r>
      <w:r w:rsidR="007E5D7C">
        <w:t xml:space="preserve"> </w:t>
      </w:r>
      <w:r w:rsidR="00977766">
        <w:t>servicio:</w:t>
      </w:r>
    </w:p>
    <w:p w14:paraId="07B83E41" w14:textId="77777777" w:rsidR="00385BA1" w:rsidRDefault="00385BA1" w:rsidP="009A28C4"/>
    <w:tbl>
      <w:tblPr>
        <w:tblStyle w:val="Tabladecuadrcula4-nfasis4"/>
        <w:tblW w:w="6232" w:type="dxa"/>
        <w:jc w:val="center"/>
        <w:tblLook w:val="04A0" w:firstRow="1" w:lastRow="0" w:firstColumn="1" w:lastColumn="0" w:noHBand="0" w:noVBand="1"/>
      </w:tblPr>
      <w:tblGrid>
        <w:gridCol w:w="4531"/>
        <w:gridCol w:w="1701"/>
      </w:tblGrid>
      <w:tr w:rsidR="00A3396A" w:rsidRPr="00131DD9" w14:paraId="36BC3A22" w14:textId="77777777" w:rsidTr="0092372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31" w:type="dxa"/>
            <w:noWrap/>
          </w:tcPr>
          <w:p w14:paraId="4BD813CA" w14:textId="14984D26" w:rsidR="00A3396A" w:rsidRPr="00131DD9" w:rsidRDefault="00A3396A" w:rsidP="00534B30">
            <w:pPr>
              <w:jc w:val="center"/>
              <w:rPr>
                <w:rFonts w:asciiTheme="minorHAnsi" w:eastAsia="Times New Roman" w:hAnsiTheme="minorHAnsi" w:cstheme="minorHAnsi"/>
                <w:sz w:val="22"/>
                <w:lang w:eastAsia="es-MX"/>
              </w:rPr>
            </w:pPr>
            <w:r w:rsidRPr="00131DD9">
              <w:rPr>
                <w:rFonts w:asciiTheme="minorHAnsi" w:eastAsia="Times New Roman" w:hAnsiTheme="minorHAnsi" w:cstheme="minorHAnsi"/>
                <w:sz w:val="22"/>
                <w:lang w:eastAsia="es-MX"/>
              </w:rPr>
              <w:t>Ser</w:t>
            </w:r>
            <w:r w:rsidR="00291EC7" w:rsidRPr="00131DD9">
              <w:rPr>
                <w:rFonts w:asciiTheme="minorHAnsi" w:eastAsia="Times New Roman" w:hAnsiTheme="minorHAnsi" w:cstheme="minorHAnsi"/>
                <w:sz w:val="22"/>
                <w:lang w:eastAsia="es-MX"/>
              </w:rPr>
              <w:t>ies de las siguientes S</w:t>
            </w:r>
            <w:r w:rsidRPr="00131DD9">
              <w:rPr>
                <w:rFonts w:asciiTheme="minorHAnsi" w:eastAsia="Times New Roman" w:hAnsiTheme="minorHAnsi" w:cstheme="minorHAnsi"/>
                <w:sz w:val="22"/>
                <w:lang w:eastAsia="es-MX"/>
              </w:rPr>
              <w:t>ecciones</w:t>
            </w:r>
          </w:p>
        </w:tc>
        <w:tc>
          <w:tcPr>
            <w:tcW w:w="1701" w:type="dxa"/>
            <w:noWrap/>
            <w:hideMark/>
          </w:tcPr>
          <w:p w14:paraId="3B7C0D6A" w14:textId="7E0D00D1" w:rsidR="00A3396A" w:rsidRPr="00131DD9" w:rsidRDefault="00A3396A" w:rsidP="00934C50">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2"/>
                <w:lang w:eastAsia="es-MX"/>
              </w:rPr>
            </w:pPr>
            <w:r w:rsidRPr="00131DD9">
              <w:rPr>
                <w:rFonts w:asciiTheme="minorHAnsi" w:eastAsia="Times New Roman" w:hAnsiTheme="minorHAnsi" w:cstheme="minorHAnsi"/>
                <w:sz w:val="22"/>
                <w:lang w:eastAsia="es-MX"/>
              </w:rPr>
              <w:t>No. Expedientes</w:t>
            </w:r>
          </w:p>
        </w:tc>
      </w:tr>
      <w:tr w:rsidR="00A3396A" w:rsidRPr="00131DD9" w14:paraId="0F65E284" w14:textId="77777777" w:rsidTr="00923724">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4531" w:type="dxa"/>
            <w:noWrap/>
          </w:tcPr>
          <w:p w14:paraId="6E0EF62D" w14:textId="1DD370E9" w:rsidR="00A3396A" w:rsidRPr="00131DD9" w:rsidRDefault="00A3396A" w:rsidP="005B5CD5">
            <w:pPr>
              <w:contextualSpacing/>
              <w:jc w:val="left"/>
              <w:rPr>
                <w:rFonts w:asciiTheme="minorHAnsi" w:eastAsia="Times New Roman" w:hAnsiTheme="minorHAnsi" w:cstheme="minorHAnsi"/>
                <w:b w:val="0"/>
                <w:bCs w:val="0"/>
                <w:color w:val="000000"/>
                <w:sz w:val="22"/>
                <w:lang w:eastAsia="es-MX"/>
              </w:rPr>
            </w:pPr>
            <w:r w:rsidRPr="00131DD9">
              <w:rPr>
                <w:rFonts w:asciiTheme="minorHAnsi" w:eastAsia="Times New Roman" w:hAnsiTheme="minorHAnsi" w:cstheme="minorHAnsi"/>
                <w:b w:val="0"/>
                <w:color w:val="000000"/>
                <w:sz w:val="22"/>
                <w:lang w:eastAsia="es-MX"/>
              </w:rPr>
              <w:t>Recursos financieros</w:t>
            </w:r>
          </w:p>
        </w:tc>
        <w:tc>
          <w:tcPr>
            <w:tcW w:w="1701" w:type="dxa"/>
            <w:noWrap/>
          </w:tcPr>
          <w:p w14:paraId="4F0715A8" w14:textId="21B362C2" w:rsidR="00A3396A" w:rsidRPr="00131DD9" w:rsidRDefault="00A3396A" w:rsidP="00934C50">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2"/>
                <w:lang w:eastAsia="es-MX"/>
              </w:rPr>
            </w:pPr>
            <w:r w:rsidRPr="00131DD9">
              <w:rPr>
                <w:rFonts w:asciiTheme="minorHAnsi" w:eastAsia="Times New Roman" w:hAnsiTheme="minorHAnsi" w:cstheme="minorHAnsi"/>
                <w:bCs/>
                <w:color w:val="000000"/>
                <w:sz w:val="22"/>
                <w:lang w:eastAsia="es-MX"/>
              </w:rPr>
              <w:t>244</w:t>
            </w:r>
          </w:p>
        </w:tc>
      </w:tr>
      <w:tr w:rsidR="00A3396A" w:rsidRPr="00131DD9" w14:paraId="3238BB7D" w14:textId="77777777" w:rsidTr="00923724">
        <w:trPr>
          <w:trHeight w:val="488"/>
          <w:jc w:val="center"/>
        </w:trPr>
        <w:tc>
          <w:tcPr>
            <w:cnfStyle w:val="001000000000" w:firstRow="0" w:lastRow="0" w:firstColumn="1" w:lastColumn="0" w:oddVBand="0" w:evenVBand="0" w:oddHBand="0" w:evenHBand="0" w:firstRowFirstColumn="0" w:firstRowLastColumn="0" w:lastRowFirstColumn="0" w:lastRowLastColumn="0"/>
            <w:tcW w:w="4531" w:type="dxa"/>
            <w:noWrap/>
          </w:tcPr>
          <w:p w14:paraId="002246F3" w14:textId="07C7FA95" w:rsidR="00A3396A" w:rsidRPr="00131DD9" w:rsidRDefault="00A3396A" w:rsidP="009A28C4">
            <w:pPr>
              <w:contextualSpacing/>
              <w:jc w:val="left"/>
              <w:rPr>
                <w:rFonts w:asciiTheme="minorHAnsi" w:eastAsia="Times New Roman" w:hAnsiTheme="minorHAnsi" w:cstheme="minorHAnsi"/>
                <w:b w:val="0"/>
                <w:color w:val="000000"/>
                <w:sz w:val="22"/>
                <w:lang w:val="es-MX" w:eastAsia="es-MX"/>
              </w:rPr>
            </w:pPr>
            <w:r w:rsidRPr="00131DD9">
              <w:rPr>
                <w:rFonts w:asciiTheme="minorHAnsi" w:eastAsia="Times New Roman" w:hAnsiTheme="minorHAnsi" w:cstheme="minorHAnsi"/>
                <w:b w:val="0"/>
                <w:color w:val="000000"/>
                <w:sz w:val="22"/>
                <w:lang w:eastAsia="es-MX"/>
              </w:rPr>
              <w:t>Programación, organización y presupuestación</w:t>
            </w:r>
          </w:p>
        </w:tc>
        <w:tc>
          <w:tcPr>
            <w:tcW w:w="1701" w:type="dxa"/>
            <w:noWrap/>
          </w:tcPr>
          <w:p w14:paraId="3E08963E" w14:textId="35AA0A2B" w:rsidR="00A3396A" w:rsidRPr="00131DD9" w:rsidRDefault="00A3396A" w:rsidP="00934C5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2"/>
                <w:lang w:eastAsia="es-MX"/>
              </w:rPr>
            </w:pPr>
            <w:r w:rsidRPr="00131DD9">
              <w:rPr>
                <w:rFonts w:asciiTheme="minorHAnsi" w:eastAsia="Times New Roman" w:hAnsiTheme="minorHAnsi" w:cstheme="minorHAnsi"/>
                <w:bCs/>
                <w:color w:val="000000"/>
                <w:sz w:val="22"/>
                <w:lang w:eastAsia="es-MX"/>
              </w:rPr>
              <w:t>122</w:t>
            </w:r>
          </w:p>
        </w:tc>
      </w:tr>
      <w:tr w:rsidR="00A3396A" w:rsidRPr="00131DD9" w14:paraId="01775FF9" w14:textId="77777777" w:rsidTr="00923724">
        <w:trPr>
          <w:cnfStyle w:val="000000100000" w:firstRow="0" w:lastRow="0" w:firstColumn="0" w:lastColumn="0" w:oddVBand="0" w:evenVBand="0" w:oddHBand="1" w:evenHBand="0" w:firstRowFirstColumn="0" w:firstRowLastColumn="0" w:lastRowFirstColumn="0" w:lastRowLastColumn="0"/>
          <w:trHeight w:val="488"/>
          <w:jc w:val="center"/>
        </w:trPr>
        <w:tc>
          <w:tcPr>
            <w:cnfStyle w:val="001000000000" w:firstRow="0" w:lastRow="0" w:firstColumn="1" w:lastColumn="0" w:oddVBand="0" w:evenVBand="0" w:oddHBand="0" w:evenHBand="0" w:firstRowFirstColumn="0" w:firstRowLastColumn="0" w:lastRowFirstColumn="0" w:lastRowLastColumn="0"/>
            <w:tcW w:w="4531" w:type="dxa"/>
            <w:noWrap/>
          </w:tcPr>
          <w:p w14:paraId="333E4311" w14:textId="5ECA045F" w:rsidR="00A3396A" w:rsidRPr="00131DD9" w:rsidRDefault="00A3396A" w:rsidP="009A28C4">
            <w:pPr>
              <w:contextualSpacing/>
              <w:jc w:val="left"/>
              <w:rPr>
                <w:rFonts w:asciiTheme="minorHAnsi" w:eastAsia="Times New Roman" w:hAnsiTheme="minorHAnsi" w:cstheme="minorHAnsi"/>
                <w:b w:val="0"/>
                <w:bCs w:val="0"/>
                <w:color w:val="000000"/>
                <w:sz w:val="22"/>
                <w:lang w:val="es-MX" w:eastAsia="es-MX"/>
              </w:rPr>
            </w:pPr>
            <w:r w:rsidRPr="00131DD9">
              <w:rPr>
                <w:rFonts w:asciiTheme="minorHAnsi" w:eastAsia="Times New Roman" w:hAnsiTheme="minorHAnsi" w:cstheme="minorHAnsi"/>
                <w:b w:val="0"/>
                <w:color w:val="000000"/>
                <w:sz w:val="22"/>
                <w:lang w:val="es-MX" w:eastAsia="es-MX"/>
              </w:rPr>
              <w:lastRenderedPageBreak/>
              <w:t>Recursos materiales y obra pública</w:t>
            </w:r>
          </w:p>
          <w:p w14:paraId="6447A359" w14:textId="0A187228" w:rsidR="00A3396A" w:rsidRPr="00131DD9" w:rsidRDefault="00A3396A" w:rsidP="009A28C4">
            <w:pPr>
              <w:ind w:left="1080"/>
              <w:contextualSpacing/>
              <w:jc w:val="left"/>
              <w:rPr>
                <w:rFonts w:asciiTheme="minorHAnsi" w:eastAsia="Times New Roman" w:hAnsiTheme="minorHAnsi" w:cstheme="minorHAnsi"/>
                <w:b w:val="0"/>
                <w:color w:val="000000"/>
                <w:sz w:val="22"/>
                <w:lang w:val="es-MX" w:eastAsia="es-MX"/>
              </w:rPr>
            </w:pPr>
          </w:p>
        </w:tc>
        <w:tc>
          <w:tcPr>
            <w:tcW w:w="1701" w:type="dxa"/>
            <w:noWrap/>
          </w:tcPr>
          <w:p w14:paraId="18463B5E" w14:textId="0EBA6F17" w:rsidR="00A3396A" w:rsidRPr="00131DD9" w:rsidRDefault="00A3396A" w:rsidP="00934C50">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2"/>
                <w:lang w:eastAsia="es-MX"/>
              </w:rPr>
            </w:pPr>
            <w:r w:rsidRPr="00131DD9">
              <w:rPr>
                <w:rFonts w:asciiTheme="minorHAnsi" w:eastAsia="Times New Roman" w:hAnsiTheme="minorHAnsi" w:cstheme="minorHAnsi"/>
                <w:bCs/>
                <w:color w:val="000000"/>
                <w:sz w:val="22"/>
                <w:lang w:eastAsia="es-MX"/>
              </w:rPr>
              <w:t>149</w:t>
            </w:r>
          </w:p>
        </w:tc>
      </w:tr>
      <w:tr w:rsidR="00A3396A" w:rsidRPr="00131DD9" w14:paraId="3D8752BB" w14:textId="77777777" w:rsidTr="00923724">
        <w:trPr>
          <w:trHeight w:val="300"/>
          <w:jc w:val="center"/>
        </w:trPr>
        <w:tc>
          <w:tcPr>
            <w:cnfStyle w:val="001000000000" w:firstRow="0" w:lastRow="0" w:firstColumn="1" w:lastColumn="0" w:oddVBand="0" w:evenVBand="0" w:oddHBand="0" w:evenHBand="0" w:firstRowFirstColumn="0" w:firstRowLastColumn="0" w:lastRowFirstColumn="0" w:lastRowLastColumn="0"/>
            <w:tcW w:w="4531" w:type="dxa"/>
            <w:noWrap/>
          </w:tcPr>
          <w:p w14:paraId="3652EEE5" w14:textId="244C88BD" w:rsidR="00A3396A" w:rsidRPr="00131DD9" w:rsidRDefault="00A3396A" w:rsidP="005B5CD5">
            <w:pPr>
              <w:jc w:val="left"/>
              <w:rPr>
                <w:rFonts w:asciiTheme="minorHAnsi" w:eastAsia="Times New Roman" w:hAnsiTheme="minorHAnsi" w:cstheme="minorHAnsi"/>
                <w:b w:val="0"/>
                <w:color w:val="000000"/>
                <w:sz w:val="22"/>
                <w:lang w:eastAsia="es-MX"/>
              </w:rPr>
            </w:pPr>
            <w:r w:rsidRPr="00131DD9">
              <w:rPr>
                <w:rFonts w:asciiTheme="minorHAnsi" w:eastAsia="Times New Roman" w:hAnsiTheme="minorHAnsi" w:cstheme="minorHAnsi"/>
                <w:b w:val="0"/>
                <w:color w:val="000000"/>
                <w:sz w:val="22"/>
                <w:lang w:eastAsia="es-MX"/>
              </w:rPr>
              <w:t>Recursos humanos</w:t>
            </w:r>
          </w:p>
        </w:tc>
        <w:tc>
          <w:tcPr>
            <w:tcW w:w="1701" w:type="dxa"/>
            <w:noWrap/>
          </w:tcPr>
          <w:p w14:paraId="26A3986A" w14:textId="1FEBED9E" w:rsidR="00A3396A" w:rsidRPr="00131DD9" w:rsidRDefault="00A3396A" w:rsidP="00534B3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2"/>
                <w:lang w:eastAsia="es-MX"/>
              </w:rPr>
            </w:pPr>
            <w:r w:rsidRPr="00131DD9">
              <w:rPr>
                <w:rFonts w:asciiTheme="minorHAnsi" w:eastAsia="Times New Roman" w:hAnsiTheme="minorHAnsi" w:cstheme="minorHAnsi"/>
                <w:bCs/>
                <w:color w:val="000000"/>
                <w:sz w:val="22"/>
                <w:lang w:eastAsia="es-MX"/>
              </w:rPr>
              <w:t>576</w:t>
            </w:r>
          </w:p>
        </w:tc>
      </w:tr>
      <w:tr w:rsidR="00A3396A" w:rsidRPr="00131DD9" w14:paraId="3A093EC1" w14:textId="77777777" w:rsidTr="009237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31" w:type="dxa"/>
            <w:noWrap/>
          </w:tcPr>
          <w:p w14:paraId="5E70EDA2" w14:textId="15336858" w:rsidR="00A3396A" w:rsidRPr="00131DD9" w:rsidRDefault="00A3396A" w:rsidP="00534B30">
            <w:pPr>
              <w:jc w:val="left"/>
              <w:rPr>
                <w:rFonts w:asciiTheme="minorHAnsi" w:eastAsia="Times New Roman" w:hAnsiTheme="minorHAnsi" w:cstheme="minorHAnsi"/>
                <w:b w:val="0"/>
                <w:color w:val="000000"/>
                <w:sz w:val="22"/>
                <w:lang w:eastAsia="es-MX"/>
              </w:rPr>
            </w:pPr>
            <w:r w:rsidRPr="00131DD9">
              <w:rPr>
                <w:rFonts w:asciiTheme="minorHAnsi" w:eastAsia="Times New Roman" w:hAnsiTheme="minorHAnsi" w:cstheme="minorHAnsi"/>
                <w:b w:val="0"/>
                <w:color w:val="000000"/>
                <w:sz w:val="22"/>
                <w:lang w:eastAsia="es-MX"/>
              </w:rPr>
              <w:t>Tecnologías y Servicios de la Información</w:t>
            </w:r>
          </w:p>
        </w:tc>
        <w:tc>
          <w:tcPr>
            <w:tcW w:w="1701" w:type="dxa"/>
            <w:noWrap/>
          </w:tcPr>
          <w:p w14:paraId="2D595B56" w14:textId="24C64A7C" w:rsidR="00A3396A" w:rsidRPr="00131DD9" w:rsidRDefault="00A3396A" w:rsidP="00934C50">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color w:val="000000"/>
                <w:sz w:val="22"/>
                <w:lang w:eastAsia="es-MX"/>
              </w:rPr>
            </w:pPr>
            <w:r w:rsidRPr="00131DD9">
              <w:rPr>
                <w:rFonts w:asciiTheme="minorHAnsi" w:eastAsia="Times New Roman" w:hAnsiTheme="minorHAnsi" w:cstheme="minorHAnsi"/>
                <w:bCs/>
                <w:color w:val="000000"/>
                <w:sz w:val="22"/>
                <w:lang w:eastAsia="es-MX"/>
              </w:rPr>
              <w:t>29</w:t>
            </w:r>
          </w:p>
        </w:tc>
      </w:tr>
      <w:tr w:rsidR="00A3396A" w:rsidRPr="00131DD9" w14:paraId="4F3D9FD7" w14:textId="77777777" w:rsidTr="00923724">
        <w:trPr>
          <w:trHeight w:val="300"/>
          <w:jc w:val="center"/>
        </w:trPr>
        <w:tc>
          <w:tcPr>
            <w:cnfStyle w:val="001000000000" w:firstRow="0" w:lastRow="0" w:firstColumn="1" w:lastColumn="0" w:oddVBand="0" w:evenVBand="0" w:oddHBand="0" w:evenHBand="0" w:firstRowFirstColumn="0" w:firstRowLastColumn="0" w:lastRowFirstColumn="0" w:lastRowLastColumn="0"/>
            <w:tcW w:w="4531" w:type="dxa"/>
            <w:noWrap/>
          </w:tcPr>
          <w:p w14:paraId="2CAF0E13" w14:textId="239FB9CD" w:rsidR="00A3396A" w:rsidRPr="00131DD9" w:rsidRDefault="00A3396A" w:rsidP="00534B30">
            <w:pPr>
              <w:jc w:val="left"/>
              <w:rPr>
                <w:rFonts w:asciiTheme="minorHAnsi" w:eastAsia="Times New Roman" w:hAnsiTheme="minorHAnsi" w:cstheme="minorHAnsi"/>
                <w:b w:val="0"/>
                <w:color w:val="000000"/>
                <w:sz w:val="22"/>
                <w:lang w:eastAsia="es-MX"/>
              </w:rPr>
            </w:pPr>
            <w:r w:rsidRPr="00131DD9">
              <w:rPr>
                <w:rFonts w:asciiTheme="minorHAnsi" w:eastAsia="Times New Roman" w:hAnsiTheme="minorHAnsi" w:cstheme="minorHAnsi"/>
                <w:b w:val="0"/>
                <w:color w:val="000000"/>
                <w:sz w:val="22"/>
                <w:lang w:eastAsia="es-MX"/>
              </w:rPr>
              <w:t>Coordinación y Vigilancia con la Administración Pública Federal</w:t>
            </w:r>
          </w:p>
        </w:tc>
        <w:tc>
          <w:tcPr>
            <w:tcW w:w="1701" w:type="dxa"/>
            <w:noWrap/>
          </w:tcPr>
          <w:p w14:paraId="52BBB196" w14:textId="5704EC7E" w:rsidR="00A3396A" w:rsidRPr="00131DD9" w:rsidRDefault="00A3396A" w:rsidP="00934C50">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Cs/>
                <w:color w:val="000000"/>
                <w:sz w:val="22"/>
                <w:lang w:eastAsia="es-MX"/>
              </w:rPr>
            </w:pPr>
            <w:r w:rsidRPr="00131DD9">
              <w:rPr>
                <w:rFonts w:asciiTheme="minorHAnsi" w:eastAsia="Times New Roman" w:hAnsiTheme="minorHAnsi" w:cstheme="minorHAnsi"/>
                <w:bCs/>
                <w:color w:val="000000"/>
                <w:sz w:val="22"/>
                <w:lang w:eastAsia="es-MX"/>
              </w:rPr>
              <w:t>40</w:t>
            </w:r>
          </w:p>
        </w:tc>
      </w:tr>
      <w:tr w:rsidR="00A3396A" w:rsidRPr="00131DD9" w14:paraId="671131D1" w14:textId="77777777" w:rsidTr="0092372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31" w:type="dxa"/>
            <w:noWrap/>
          </w:tcPr>
          <w:p w14:paraId="5BA974F3" w14:textId="77777777" w:rsidR="00A3396A" w:rsidRPr="00131DD9" w:rsidRDefault="00A3396A" w:rsidP="00934C50">
            <w:pPr>
              <w:jc w:val="right"/>
              <w:rPr>
                <w:rFonts w:asciiTheme="minorHAnsi" w:eastAsia="Times New Roman" w:hAnsiTheme="minorHAnsi" w:cstheme="minorHAnsi"/>
                <w:color w:val="000000"/>
                <w:sz w:val="22"/>
                <w:lang w:eastAsia="es-MX"/>
              </w:rPr>
            </w:pPr>
            <w:r w:rsidRPr="00131DD9">
              <w:rPr>
                <w:rFonts w:asciiTheme="minorHAnsi" w:eastAsia="Times New Roman" w:hAnsiTheme="minorHAnsi" w:cstheme="minorHAnsi"/>
                <w:color w:val="000000"/>
                <w:sz w:val="22"/>
                <w:lang w:eastAsia="es-MX"/>
              </w:rPr>
              <w:t>Total</w:t>
            </w:r>
          </w:p>
        </w:tc>
        <w:tc>
          <w:tcPr>
            <w:tcW w:w="1701" w:type="dxa"/>
            <w:noWrap/>
          </w:tcPr>
          <w:p w14:paraId="0EF86F8A" w14:textId="738FCFBB" w:rsidR="00A3396A" w:rsidRPr="00131DD9" w:rsidRDefault="00A3396A" w:rsidP="00934C50">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2"/>
                <w:lang w:eastAsia="es-MX"/>
              </w:rPr>
            </w:pPr>
            <w:r w:rsidRPr="00131DD9">
              <w:rPr>
                <w:rFonts w:asciiTheme="minorHAnsi" w:eastAsia="Times New Roman" w:hAnsiTheme="minorHAnsi" w:cstheme="minorHAnsi"/>
                <w:b/>
                <w:bCs/>
                <w:color w:val="000000"/>
                <w:sz w:val="22"/>
                <w:lang w:eastAsia="es-MX"/>
              </w:rPr>
              <w:t>1</w:t>
            </w:r>
            <w:r w:rsidR="004E251F" w:rsidRPr="00131DD9">
              <w:rPr>
                <w:rFonts w:asciiTheme="minorHAnsi" w:eastAsia="Times New Roman" w:hAnsiTheme="minorHAnsi" w:cstheme="minorHAnsi"/>
                <w:b/>
                <w:bCs/>
                <w:color w:val="000000"/>
                <w:sz w:val="22"/>
                <w:lang w:eastAsia="es-MX"/>
              </w:rPr>
              <w:t>,</w:t>
            </w:r>
            <w:r w:rsidRPr="00131DD9">
              <w:rPr>
                <w:rFonts w:asciiTheme="minorHAnsi" w:eastAsia="Times New Roman" w:hAnsiTheme="minorHAnsi" w:cstheme="minorHAnsi"/>
                <w:b/>
                <w:bCs/>
                <w:color w:val="000000"/>
                <w:sz w:val="22"/>
                <w:lang w:eastAsia="es-MX"/>
              </w:rPr>
              <w:t>160</w:t>
            </w:r>
          </w:p>
        </w:tc>
      </w:tr>
    </w:tbl>
    <w:p w14:paraId="19B1019C" w14:textId="77777777" w:rsidR="00162183" w:rsidRPr="00D55559" w:rsidRDefault="00162183" w:rsidP="00162183">
      <w:pPr>
        <w:spacing w:line="360" w:lineRule="auto"/>
        <w:rPr>
          <w:rFonts w:ascii="Arial" w:hAnsi="Arial" w:cs="Arial"/>
          <w:highlight w:val="yellow"/>
        </w:rPr>
      </w:pPr>
    </w:p>
    <w:p w14:paraId="3697799E" w14:textId="5861E792" w:rsidR="00162183" w:rsidRPr="00A5278B" w:rsidRDefault="00162183" w:rsidP="00A5278B">
      <w:r w:rsidRPr="00A5278B">
        <w:t xml:space="preserve">Con la entrega de esta remesa, el total de la documentación bajo resguardo </w:t>
      </w:r>
      <w:r w:rsidR="00A5278B">
        <w:t>de Pay per Box, es de:</w:t>
      </w:r>
    </w:p>
    <w:p w14:paraId="6C2161DC" w14:textId="77777777" w:rsidR="00162183" w:rsidRPr="00D55559" w:rsidRDefault="00162183" w:rsidP="00162183">
      <w:pPr>
        <w:rPr>
          <w:b/>
          <w:szCs w:val="24"/>
          <w:highlight w:val="yellow"/>
        </w:rPr>
      </w:pPr>
    </w:p>
    <w:tbl>
      <w:tblPr>
        <w:tblStyle w:val="Tabladecuadrcula4-nfasis4"/>
        <w:tblW w:w="0" w:type="auto"/>
        <w:jc w:val="center"/>
        <w:tblLook w:val="04A0" w:firstRow="1" w:lastRow="0" w:firstColumn="1" w:lastColumn="0" w:noHBand="0" w:noVBand="1"/>
      </w:tblPr>
      <w:tblGrid>
        <w:gridCol w:w="4815"/>
        <w:gridCol w:w="2126"/>
      </w:tblGrid>
      <w:tr w:rsidR="00162183" w:rsidRPr="00E34BB5" w14:paraId="5542C928" w14:textId="77777777" w:rsidTr="00D456E4">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4815" w:type="dxa"/>
          </w:tcPr>
          <w:p w14:paraId="57B42F5B" w14:textId="77777777" w:rsidR="00162183" w:rsidRPr="00E34BB5" w:rsidRDefault="00162183" w:rsidP="00D456E4">
            <w:pPr>
              <w:jc w:val="center"/>
              <w:rPr>
                <w:sz w:val="22"/>
              </w:rPr>
            </w:pPr>
            <w:r w:rsidRPr="00E34BB5">
              <w:rPr>
                <w:sz w:val="22"/>
              </w:rPr>
              <w:t>Bajo resguardo de Pay per Box</w:t>
            </w:r>
          </w:p>
        </w:tc>
        <w:tc>
          <w:tcPr>
            <w:tcW w:w="2126" w:type="dxa"/>
          </w:tcPr>
          <w:p w14:paraId="36898868" w14:textId="77777777" w:rsidR="00162183" w:rsidRPr="00E34BB5" w:rsidRDefault="00162183" w:rsidP="00D456E4">
            <w:pPr>
              <w:jc w:val="center"/>
              <w:cnfStyle w:val="100000000000" w:firstRow="1" w:lastRow="0" w:firstColumn="0" w:lastColumn="0" w:oddVBand="0" w:evenVBand="0" w:oddHBand="0" w:evenHBand="0" w:firstRowFirstColumn="0" w:firstRowLastColumn="0" w:lastRowFirstColumn="0" w:lastRowLastColumn="0"/>
              <w:rPr>
                <w:sz w:val="22"/>
              </w:rPr>
            </w:pPr>
            <w:r w:rsidRPr="00E34BB5">
              <w:rPr>
                <w:sz w:val="22"/>
              </w:rPr>
              <w:t>Total</w:t>
            </w:r>
          </w:p>
        </w:tc>
      </w:tr>
      <w:tr w:rsidR="00162183" w:rsidRPr="00E34BB5" w14:paraId="68743292" w14:textId="77777777" w:rsidTr="00D45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15" w:type="dxa"/>
          </w:tcPr>
          <w:p w14:paraId="7E2BF964" w14:textId="77777777" w:rsidR="00162183" w:rsidRPr="00E34BB5" w:rsidRDefault="00162183" w:rsidP="00385BA1">
            <w:pPr>
              <w:rPr>
                <w:b w:val="0"/>
                <w:sz w:val="22"/>
              </w:rPr>
            </w:pPr>
            <w:r w:rsidRPr="00E34BB5">
              <w:rPr>
                <w:rFonts w:eastAsia="Times New Roman"/>
                <w:b w:val="0"/>
                <w:sz w:val="22"/>
                <w:lang w:eastAsia="es-MX"/>
              </w:rPr>
              <w:t>Expedientes</w:t>
            </w:r>
          </w:p>
        </w:tc>
        <w:tc>
          <w:tcPr>
            <w:tcW w:w="2126" w:type="dxa"/>
          </w:tcPr>
          <w:p w14:paraId="780B66D0" w14:textId="0B6C6EC9" w:rsidR="00162183" w:rsidRPr="00923724" w:rsidRDefault="00A5278B" w:rsidP="00385BA1">
            <w:pPr>
              <w:cnfStyle w:val="000000100000" w:firstRow="0" w:lastRow="0" w:firstColumn="0" w:lastColumn="0" w:oddVBand="0" w:evenVBand="0" w:oddHBand="1" w:evenHBand="0" w:firstRowFirstColumn="0" w:firstRowLastColumn="0" w:lastRowFirstColumn="0" w:lastRowLastColumn="0"/>
              <w:rPr>
                <w:b/>
                <w:sz w:val="22"/>
              </w:rPr>
            </w:pPr>
            <w:r w:rsidRPr="00923724">
              <w:rPr>
                <w:rFonts w:eastAsia="Times New Roman"/>
                <w:b/>
                <w:sz w:val="22"/>
                <w:lang w:eastAsia="es-MX"/>
              </w:rPr>
              <w:t>5,456</w:t>
            </w:r>
          </w:p>
        </w:tc>
      </w:tr>
      <w:tr w:rsidR="00162183" w:rsidRPr="00E34BB5" w14:paraId="2BC7D2DB" w14:textId="77777777" w:rsidTr="00D456E4">
        <w:trPr>
          <w:jc w:val="center"/>
        </w:trPr>
        <w:tc>
          <w:tcPr>
            <w:cnfStyle w:val="001000000000" w:firstRow="0" w:lastRow="0" w:firstColumn="1" w:lastColumn="0" w:oddVBand="0" w:evenVBand="0" w:oddHBand="0" w:evenHBand="0" w:firstRowFirstColumn="0" w:firstRowLastColumn="0" w:lastRowFirstColumn="0" w:lastRowLastColumn="0"/>
            <w:tcW w:w="4815" w:type="dxa"/>
          </w:tcPr>
          <w:p w14:paraId="4CC4F25D" w14:textId="77777777" w:rsidR="00162183" w:rsidRPr="00E34BB5" w:rsidRDefault="00162183" w:rsidP="00385BA1">
            <w:pPr>
              <w:rPr>
                <w:rFonts w:eastAsia="Times New Roman"/>
                <w:b w:val="0"/>
                <w:bCs w:val="0"/>
                <w:sz w:val="22"/>
                <w:lang w:eastAsia="es-MX"/>
              </w:rPr>
            </w:pPr>
            <w:r w:rsidRPr="00E34BB5">
              <w:rPr>
                <w:rFonts w:eastAsia="Times New Roman"/>
                <w:b w:val="0"/>
                <w:bCs w:val="0"/>
                <w:sz w:val="22"/>
                <w:lang w:eastAsia="es-MX"/>
              </w:rPr>
              <w:t xml:space="preserve">Cajas </w:t>
            </w:r>
          </w:p>
        </w:tc>
        <w:tc>
          <w:tcPr>
            <w:tcW w:w="2126" w:type="dxa"/>
          </w:tcPr>
          <w:p w14:paraId="3A92C622" w14:textId="283AE63A" w:rsidR="00162183" w:rsidRPr="00923724" w:rsidRDefault="00A5278B" w:rsidP="00385BA1">
            <w:pPr>
              <w:cnfStyle w:val="000000000000" w:firstRow="0" w:lastRow="0" w:firstColumn="0" w:lastColumn="0" w:oddVBand="0" w:evenVBand="0" w:oddHBand="0" w:evenHBand="0" w:firstRowFirstColumn="0" w:firstRowLastColumn="0" w:lastRowFirstColumn="0" w:lastRowLastColumn="0"/>
              <w:rPr>
                <w:rFonts w:eastAsia="Times New Roman"/>
                <w:b/>
                <w:sz w:val="22"/>
                <w:lang w:eastAsia="es-MX"/>
              </w:rPr>
            </w:pPr>
            <w:r w:rsidRPr="00923724">
              <w:rPr>
                <w:rFonts w:eastAsia="Times New Roman"/>
                <w:b/>
                <w:sz w:val="22"/>
                <w:lang w:eastAsia="es-MX"/>
              </w:rPr>
              <w:t>364</w:t>
            </w:r>
          </w:p>
        </w:tc>
      </w:tr>
    </w:tbl>
    <w:p w14:paraId="135D2102" w14:textId="7FC2498E" w:rsidR="00454650" w:rsidRDefault="00454650" w:rsidP="00711D8E">
      <w:pPr>
        <w:spacing w:line="360" w:lineRule="auto"/>
        <w:rPr>
          <w:rFonts w:ascii="Arial" w:hAnsi="Arial" w:cs="Arial"/>
        </w:rPr>
      </w:pPr>
    </w:p>
    <w:p w14:paraId="13DE1453" w14:textId="7F6C7BAE" w:rsidR="00E34BB5" w:rsidRPr="00291EC7" w:rsidRDefault="00454650" w:rsidP="00E34BB5">
      <w:pPr>
        <w:rPr>
          <w:lang w:val="es-MX" w:eastAsia="es-MX"/>
        </w:rPr>
      </w:pPr>
      <w:r w:rsidRPr="00291EC7">
        <w:rPr>
          <w:noProof/>
          <w:lang w:val="es-MX" w:eastAsia="es-MX"/>
        </w:rPr>
        <w:drawing>
          <wp:anchor distT="0" distB="0" distL="114300" distR="114300" simplePos="0" relativeHeight="251691008" behindDoc="0" locked="0" layoutInCell="1" allowOverlap="1" wp14:anchorId="321AE609" wp14:editId="25FAE36E">
            <wp:simplePos x="0" y="0"/>
            <wp:positionH relativeFrom="margin">
              <wp:posOffset>-358445</wp:posOffset>
            </wp:positionH>
            <wp:positionV relativeFrom="paragraph">
              <wp:posOffset>114199</wp:posOffset>
            </wp:positionV>
            <wp:extent cx="600075" cy="60007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E34BB5" w:rsidRPr="00291EC7">
        <w:rPr>
          <w:lang w:val="es-MX" w:eastAsia="es-MX"/>
        </w:rPr>
        <w:t>De conformidad con lo establecido en el artículo 12, fracción IV de la Ley Federal de Archivos.</w:t>
      </w:r>
    </w:p>
    <w:p w14:paraId="49BE6E5F" w14:textId="791C2B20" w:rsidR="00E34BB5" w:rsidRPr="00AD011F" w:rsidRDefault="00E34BB5" w:rsidP="00E34BB5">
      <w:pPr>
        <w:rPr>
          <w:b/>
        </w:rPr>
      </w:pPr>
      <w:r w:rsidRPr="00291EC7">
        <w:rPr>
          <w:b/>
        </w:rPr>
        <w:t xml:space="preserve">Avance: </w:t>
      </w:r>
      <w:r w:rsidR="00291EC7" w:rsidRPr="00291EC7">
        <w:rPr>
          <w:b/>
        </w:rPr>
        <w:t>10</w:t>
      </w:r>
      <w:r w:rsidRPr="00291EC7">
        <w:rPr>
          <w:b/>
        </w:rPr>
        <w:t>0%</w:t>
      </w:r>
    </w:p>
    <w:p w14:paraId="5A48AA73" w14:textId="77777777" w:rsidR="00E34BB5" w:rsidRDefault="00E34BB5" w:rsidP="00454650">
      <w:pPr>
        <w:rPr>
          <w:b/>
        </w:rPr>
      </w:pPr>
    </w:p>
    <w:p w14:paraId="1719212D" w14:textId="570E382F" w:rsidR="004E251F" w:rsidRDefault="004E251F" w:rsidP="00711D8E">
      <w:pPr>
        <w:spacing w:line="360" w:lineRule="auto"/>
        <w:rPr>
          <w:rFonts w:ascii="Arial" w:hAnsi="Arial" w:cs="Arial"/>
        </w:rPr>
      </w:pPr>
    </w:p>
    <w:p w14:paraId="578E483A" w14:textId="77777777" w:rsidR="005E626F" w:rsidRDefault="005E626F" w:rsidP="00711D8E">
      <w:pPr>
        <w:spacing w:line="360" w:lineRule="auto"/>
        <w:rPr>
          <w:rFonts w:ascii="Arial" w:hAnsi="Arial" w:cs="Arial"/>
        </w:rPr>
      </w:pPr>
    </w:p>
    <w:p w14:paraId="6E376B61" w14:textId="18694809" w:rsidR="00AD011F" w:rsidRDefault="00B83DAF" w:rsidP="000011C0">
      <w:pPr>
        <w:pStyle w:val="Ttulo3"/>
      </w:pPr>
      <w:bookmarkStart w:id="13" w:name="_Toc25709535"/>
      <w:r w:rsidRPr="005E5FC4">
        <w:t>1.2</w:t>
      </w:r>
      <w:r w:rsidR="00FB2094" w:rsidRPr="005E5FC4">
        <w:t>B</w:t>
      </w:r>
      <w:r w:rsidR="00AD011F" w:rsidRPr="005E5FC4">
        <w:t xml:space="preserve"> </w:t>
      </w:r>
      <w:r w:rsidR="00FB2094" w:rsidRPr="005E5FC4">
        <w:t>Atender y dar seguimiento de solicitudes de préstamo en el Archivo de Concentración.</w:t>
      </w:r>
      <w:bookmarkEnd w:id="13"/>
    </w:p>
    <w:p w14:paraId="2DFF276F" w14:textId="77777777" w:rsidR="00D456E4" w:rsidRPr="00D456E4" w:rsidRDefault="00D456E4" w:rsidP="00D456E4"/>
    <w:p w14:paraId="07290D71" w14:textId="1C7FCC7E" w:rsidR="007D6D9C" w:rsidRDefault="00FB2094" w:rsidP="00874BB0">
      <w:r w:rsidRPr="005E5FC4">
        <w:t xml:space="preserve">Durante el ejercicio 2019, se dio continuidad al servicio de préstamo de expedientes del </w:t>
      </w:r>
      <w:r w:rsidR="005B21A6">
        <w:t>Archivo de C</w:t>
      </w:r>
      <w:r w:rsidRPr="005E5FC4">
        <w:t>oncentración, otorgá</w:t>
      </w:r>
      <w:r w:rsidR="00874BB0">
        <w:t>ndose los siguientes servicios:</w:t>
      </w:r>
    </w:p>
    <w:p w14:paraId="6DD4CE65" w14:textId="77777777" w:rsidR="00874BB0" w:rsidRPr="00874BB0" w:rsidRDefault="00874BB0" w:rsidP="00385BA1">
      <w:pPr>
        <w:jc w:val="center"/>
      </w:pPr>
    </w:p>
    <w:tbl>
      <w:tblPr>
        <w:tblStyle w:val="Tabladecuadrcula4-nfasis4"/>
        <w:tblpPr w:leftFromText="141" w:rightFromText="141" w:vertAnchor="text" w:horzAnchor="margin" w:tblpXSpec="center" w:tblpY="20"/>
        <w:tblW w:w="6941" w:type="dxa"/>
        <w:tblLayout w:type="fixed"/>
        <w:tblLook w:val="04A0" w:firstRow="1" w:lastRow="0" w:firstColumn="1" w:lastColumn="0" w:noHBand="0" w:noVBand="1"/>
      </w:tblPr>
      <w:tblGrid>
        <w:gridCol w:w="3823"/>
        <w:gridCol w:w="3118"/>
      </w:tblGrid>
      <w:tr w:rsidR="00FB2094" w:rsidRPr="00131DD9" w14:paraId="6258FFFD" w14:textId="77777777" w:rsidTr="00B43FBB">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41" w:type="dxa"/>
            <w:gridSpan w:val="2"/>
            <w:noWrap/>
            <w:hideMark/>
          </w:tcPr>
          <w:p w14:paraId="2941F4CC" w14:textId="77AB708F" w:rsidR="00FB2094" w:rsidRPr="00131DD9" w:rsidRDefault="00FB2094" w:rsidP="00385BA1">
            <w:pPr>
              <w:jc w:val="center"/>
              <w:rPr>
                <w:rFonts w:asciiTheme="minorHAnsi" w:hAnsiTheme="minorHAnsi" w:cstheme="minorHAnsi"/>
                <w:b w:val="0"/>
                <w:bCs w:val="0"/>
                <w:color w:val="auto"/>
                <w:sz w:val="22"/>
                <w:highlight w:val="yellow"/>
                <w:lang w:eastAsia="es-MX"/>
              </w:rPr>
            </w:pPr>
            <w:r w:rsidRPr="00131DD9">
              <w:rPr>
                <w:rFonts w:asciiTheme="minorHAnsi" w:hAnsiTheme="minorHAnsi" w:cstheme="minorHAnsi"/>
                <w:sz w:val="22"/>
                <w:lang w:eastAsia="es-MX"/>
              </w:rPr>
              <w:t>Servicios de préstamo 2019</w:t>
            </w:r>
          </w:p>
        </w:tc>
      </w:tr>
      <w:tr w:rsidR="00FB2094" w:rsidRPr="00131DD9" w14:paraId="212AA829" w14:textId="77777777" w:rsidTr="00B43FBB">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823" w:type="dxa"/>
            <w:noWrap/>
          </w:tcPr>
          <w:p w14:paraId="0B616A80" w14:textId="77777777" w:rsidR="00FB2094" w:rsidRPr="00131DD9" w:rsidRDefault="00FB2094" w:rsidP="00385BA1">
            <w:pPr>
              <w:rPr>
                <w:rFonts w:asciiTheme="minorHAnsi" w:hAnsiTheme="minorHAnsi" w:cstheme="minorHAnsi"/>
                <w:b w:val="0"/>
                <w:sz w:val="22"/>
                <w:lang w:eastAsia="es-MX"/>
              </w:rPr>
            </w:pPr>
            <w:r w:rsidRPr="00131DD9">
              <w:rPr>
                <w:rFonts w:asciiTheme="minorHAnsi" w:hAnsiTheme="minorHAnsi" w:cstheme="minorHAnsi"/>
                <w:b w:val="0"/>
                <w:sz w:val="22"/>
                <w:lang w:eastAsia="es-MX"/>
              </w:rPr>
              <w:t>Solicitudes atendidas</w:t>
            </w:r>
          </w:p>
        </w:tc>
        <w:tc>
          <w:tcPr>
            <w:tcW w:w="3118" w:type="dxa"/>
          </w:tcPr>
          <w:p w14:paraId="333F5EF5" w14:textId="5CF212ED" w:rsidR="00FB2094" w:rsidRPr="00131DD9" w:rsidRDefault="005B21A6" w:rsidP="00385BA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eastAsia="es-MX"/>
              </w:rPr>
            </w:pPr>
            <w:r w:rsidRPr="00131DD9">
              <w:rPr>
                <w:rFonts w:asciiTheme="minorHAnsi" w:hAnsiTheme="minorHAnsi" w:cstheme="minorHAnsi"/>
                <w:sz w:val="22"/>
                <w:lang w:eastAsia="es-MX"/>
              </w:rPr>
              <w:t>45</w:t>
            </w:r>
          </w:p>
        </w:tc>
      </w:tr>
      <w:tr w:rsidR="00FB2094" w:rsidRPr="00131DD9" w14:paraId="28762627" w14:textId="77777777" w:rsidTr="00B43FBB">
        <w:trPr>
          <w:trHeight w:val="415"/>
        </w:trPr>
        <w:tc>
          <w:tcPr>
            <w:cnfStyle w:val="001000000000" w:firstRow="0" w:lastRow="0" w:firstColumn="1" w:lastColumn="0" w:oddVBand="0" w:evenVBand="0" w:oddHBand="0" w:evenHBand="0" w:firstRowFirstColumn="0" w:firstRowLastColumn="0" w:lastRowFirstColumn="0" w:lastRowLastColumn="0"/>
            <w:tcW w:w="3823" w:type="dxa"/>
            <w:noWrap/>
          </w:tcPr>
          <w:p w14:paraId="7C81E77C" w14:textId="77777777" w:rsidR="00FB2094" w:rsidRPr="00131DD9" w:rsidRDefault="00FB2094" w:rsidP="00385BA1">
            <w:pPr>
              <w:rPr>
                <w:rFonts w:asciiTheme="minorHAnsi" w:hAnsiTheme="minorHAnsi" w:cstheme="minorHAnsi"/>
                <w:b w:val="0"/>
                <w:sz w:val="22"/>
                <w:lang w:eastAsia="es-MX"/>
              </w:rPr>
            </w:pPr>
            <w:r w:rsidRPr="00131DD9">
              <w:rPr>
                <w:rFonts w:asciiTheme="minorHAnsi" w:hAnsiTheme="minorHAnsi" w:cstheme="minorHAnsi"/>
                <w:b w:val="0"/>
                <w:sz w:val="22"/>
                <w:lang w:eastAsia="es-MX"/>
              </w:rPr>
              <w:t xml:space="preserve">Expedientes prestados </w:t>
            </w:r>
          </w:p>
        </w:tc>
        <w:tc>
          <w:tcPr>
            <w:tcW w:w="3118" w:type="dxa"/>
          </w:tcPr>
          <w:p w14:paraId="1E9A81E6" w14:textId="31E007FD" w:rsidR="00FB2094" w:rsidRPr="00131DD9" w:rsidRDefault="005B21A6" w:rsidP="00385BA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eastAsia="es-MX"/>
              </w:rPr>
            </w:pPr>
            <w:r w:rsidRPr="00131DD9">
              <w:rPr>
                <w:rFonts w:asciiTheme="minorHAnsi" w:hAnsiTheme="minorHAnsi" w:cstheme="minorHAnsi"/>
                <w:sz w:val="22"/>
                <w:lang w:eastAsia="es-MX"/>
              </w:rPr>
              <w:t>83</w:t>
            </w:r>
          </w:p>
        </w:tc>
      </w:tr>
    </w:tbl>
    <w:p w14:paraId="57A27897" w14:textId="77777777" w:rsidR="00FB2094" w:rsidRPr="00D55559" w:rsidRDefault="00FB2094" w:rsidP="00FB2094">
      <w:pPr>
        <w:spacing w:line="360" w:lineRule="auto"/>
        <w:rPr>
          <w:rFonts w:ascii="Arial" w:hAnsi="Arial" w:cs="Arial"/>
          <w:sz w:val="18"/>
          <w:szCs w:val="18"/>
          <w:highlight w:val="yellow"/>
        </w:rPr>
      </w:pPr>
    </w:p>
    <w:p w14:paraId="0EF90B34" w14:textId="77777777" w:rsidR="00FB2094" w:rsidRPr="00D55559" w:rsidRDefault="00FB2094" w:rsidP="00FB2094">
      <w:pPr>
        <w:spacing w:line="360" w:lineRule="auto"/>
        <w:rPr>
          <w:rFonts w:ascii="Arial" w:hAnsi="Arial" w:cs="Arial"/>
          <w:sz w:val="18"/>
          <w:szCs w:val="18"/>
          <w:highlight w:val="yellow"/>
        </w:rPr>
      </w:pPr>
    </w:p>
    <w:p w14:paraId="032F9546" w14:textId="77777777" w:rsidR="00FB2094" w:rsidRPr="00D55559" w:rsidRDefault="00FB2094" w:rsidP="00FB2094">
      <w:pPr>
        <w:spacing w:line="360" w:lineRule="auto"/>
        <w:rPr>
          <w:rFonts w:ascii="Arial" w:hAnsi="Arial" w:cs="Arial"/>
          <w:b/>
          <w:highlight w:val="yellow"/>
        </w:rPr>
      </w:pPr>
    </w:p>
    <w:p w14:paraId="2E8C54CE" w14:textId="77777777" w:rsidR="00FB2094" w:rsidRPr="00D55559" w:rsidRDefault="00FB2094" w:rsidP="00FB2094">
      <w:pPr>
        <w:spacing w:line="360" w:lineRule="auto"/>
        <w:rPr>
          <w:rFonts w:ascii="Arial" w:hAnsi="Arial" w:cs="Arial"/>
          <w:b/>
          <w:highlight w:val="yellow"/>
        </w:rPr>
      </w:pPr>
    </w:p>
    <w:p w14:paraId="1FFBBC83" w14:textId="77777777" w:rsidR="00A5278B" w:rsidRDefault="00891F96" w:rsidP="00A5278B">
      <w:pPr>
        <w:spacing w:line="360" w:lineRule="auto"/>
        <w:rPr>
          <w:lang w:val="es-MX" w:eastAsia="es-MX"/>
        </w:rPr>
      </w:pPr>
      <w:r w:rsidRPr="00FB2094">
        <w:rPr>
          <w:noProof/>
          <w:highlight w:val="yellow"/>
          <w:lang w:val="es-MX" w:eastAsia="es-MX"/>
        </w:rPr>
        <w:lastRenderedPageBreak/>
        <w:drawing>
          <wp:anchor distT="0" distB="0" distL="114300" distR="114300" simplePos="0" relativeHeight="251693056" behindDoc="0" locked="0" layoutInCell="1" allowOverlap="1" wp14:anchorId="149CB8D4" wp14:editId="416E0232">
            <wp:simplePos x="0" y="0"/>
            <wp:positionH relativeFrom="margin">
              <wp:posOffset>0</wp:posOffset>
            </wp:positionH>
            <wp:positionV relativeFrom="paragraph">
              <wp:posOffset>175511</wp:posOffset>
            </wp:positionV>
            <wp:extent cx="600075" cy="60007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p>
    <w:p w14:paraId="64D5EFD1" w14:textId="014B54EE" w:rsidR="00B43FBB" w:rsidRPr="00755E6A" w:rsidRDefault="00755E6A" w:rsidP="00755E6A">
      <w:pPr>
        <w:rPr>
          <w:lang w:val="es-MX" w:eastAsia="es-MX"/>
        </w:rPr>
      </w:pPr>
      <w:r w:rsidRPr="00755E6A">
        <w:rPr>
          <w:lang w:val="es-MX" w:eastAsia="es-MX"/>
        </w:rPr>
        <w:t>De conformidad con lo establecido en el</w:t>
      </w:r>
      <w:r w:rsidR="005E5FC4" w:rsidRPr="00755E6A">
        <w:rPr>
          <w:lang w:val="es-MX" w:eastAsia="es-MX"/>
        </w:rPr>
        <w:t xml:space="preserve"> A</w:t>
      </w:r>
      <w:r w:rsidR="00A23A6E" w:rsidRPr="00755E6A">
        <w:rPr>
          <w:lang w:val="es-MX" w:eastAsia="es-MX"/>
        </w:rPr>
        <w:t xml:space="preserve">rtículo </w:t>
      </w:r>
      <w:r w:rsidR="008E06FE" w:rsidRPr="00755E6A">
        <w:rPr>
          <w:lang w:val="es-MX" w:eastAsia="es-MX"/>
        </w:rPr>
        <w:t>12</w:t>
      </w:r>
      <w:r w:rsidR="00A23A6E" w:rsidRPr="00755E6A">
        <w:rPr>
          <w:lang w:val="es-MX" w:eastAsia="es-MX"/>
        </w:rPr>
        <w:t>,</w:t>
      </w:r>
      <w:r w:rsidR="00FB2094" w:rsidRPr="00755E6A">
        <w:rPr>
          <w:lang w:val="es-MX" w:eastAsia="es-MX"/>
        </w:rPr>
        <w:t xml:space="preserve"> fracción </w:t>
      </w:r>
      <w:r w:rsidR="008E06FE" w:rsidRPr="00755E6A">
        <w:rPr>
          <w:lang w:val="es-MX" w:eastAsia="es-MX"/>
        </w:rPr>
        <w:t>I</w:t>
      </w:r>
      <w:r w:rsidR="00FB2094" w:rsidRPr="00755E6A">
        <w:rPr>
          <w:lang w:val="es-MX" w:eastAsia="es-MX"/>
        </w:rPr>
        <w:t>V</w:t>
      </w:r>
      <w:r w:rsidR="00B43FBB" w:rsidRPr="00755E6A">
        <w:rPr>
          <w:lang w:val="es-MX" w:eastAsia="es-MX"/>
        </w:rPr>
        <w:t xml:space="preserve"> de la Ley Federal de Archivos.</w:t>
      </w:r>
    </w:p>
    <w:p w14:paraId="128C1697" w14:textId="24DD9CD2" w:rsidR="009C12D6" w:rsidRPr="00B43FBB" w:rsidRDefault="005E5FC4" w:rsidP="00755E6A">
      <w:pPr>
        <w:rPr>
          <w:lang w:val="es-MX" w:eastAsia="es-MX"/>
        </w:rPr>
      </w:pPr>
      <w:r w:rsidRPr="00755E6A">
        <w:rPr>
          <w:b/>
        </w:rPr>
        <w:t>Avance: 100</w:t>
      </w:r>
      <w:r w:rsidR="00454650" w:rsidRPr="00755E6A">
        <w:rPr>
          <w:b/>
        </w:rPr>
        <w:t xml:space="preserve"> %</w:t>
      </w:r>
    </w:p>
    <w:p w14:paraId="234B4B5D" w14:textId="363EAF25" w:rsidR="009C12D6" w:rsidRDefault="009C12D6" w:rsidP="00CA7687">
      <w:pPr>
        <w:spacing w:line="360" w:lineRule="auto"/>
        <w:rPr>
          <w:rFonts w:ascii="Arial" w:hAnsi="Arial" w:cs="Arial"/>
          <w:sz w:val="18"/>
          <w:szCs w:val="18"/>
        </w:rPr>
      </w:pPr>
    </w:p>
    <w:p w14:paraId="1DD1EDDE" w14:textId="77777777" w:rsidR="00162183" w:rsidRDefault="00162183" w:rsidP="00CA7687">
      <w:pPr>
        <w:spacing w:line="360" w:lineRule="auto"/>
        <w:rPr>
          <w:rFonts w:ascii="Arial" w:hAnsi="Arial" w:cs="Arial"/>
          <w:sz w:val="18"/>
          <w:szCs w:val="18"/>
        </w:rPr>
      </w:pPr>
    </w:p>
    <w:p w14:paraId="1FF5D482" w14:textId="113E1215" w:rsidR="00FB2094" w:rsidRPr="00755E6A" w:rsidRDefault="00FB2094" w:rsidP="000011C0">
      <w:pPr>
        <w:pStyle w:val="Ttulo3"/>
        <w:rPr>
          <w:lang w:val="es-MX" w:eastAsia="es-MX"/>
        </w:rPr>
      </w:pPr>
      <w:bookmarkStart w:id="14" w:name="_Toc25709536"/>
      <w:r w:rsidRPr="00755E6A">
        <w:t>1.</w:t>
      </w:r>
      <w:r w:rsidR="007D6D9C" w:rsidRPr="00755E6A">
        <w:t>2</w:t>
      </w:r>
      <w:r w:rsidRPr="00755E6A">
        <w:t xml:space="preserve">C </w:t>
      </w:r>
      <w:r w:rsidRPr="00755E6A">
        <w:rPr>
          <w:lang w:val="es-MX" w:eastAsia="es-MX"/>
        </w:rPr>
        <w:t>Soporte Técnico GD-Mx</w:t>
      </w:r>
      <w:bookmarkEnd w:id="14"/>
    </w:p>
    <w:p w14:paraId="347FB880" w14:textId="77777777" w:rsidR="004E251F" w:rsidRPr="00C7244D" w:rsidRDefault="004E251F" w:rsidP="004E251F">
      <w:pPr>
        <w:rPr>
          <w:lang w:val="es-MX" w:eastAsia="es-MX"/>
        </w:rPr>
      </w:pPr>
    </w:p>
    <w:p w14:paraId="34E64B94" w14:textId="72F4C178" w:rsidR="00FB2094" w:rsidRPr="00291EC7" w:rsidRDefault="00B43FBB" w:rsidP="004E251F">
      <w:pPr>
        <w:rPr>
          <w:lang w:val="es-MX" w:eastAsia="es-MX"/>
        </w:rPr>
      </w:pPr>
      <w:r w:rsidRPr="00C7244D">
        <w:rPr>
          <w:lang w:val="es-MX" w:eastAsia="es-MX"/>
        </w:rPr>
        <w:t xml:space="preserve">Con el fin de mantener la continuidad </w:t>
      </w:r>
      <w:r w:rsidR="00C7244D" w:rsidRPr="00C7244D">
        <w:rPr>
          <w:lang w:val="es-MX" w:eastAsia="es-MX"/>
        </w:rPr>
        <w:t>de operación del Sistema GD-Mx para el ejercicio 2020</w:t>
      </w:r>
      <w:r w:rsidRPr="00C7244D">
        <w:rPr>
          <w:lang w:val="es-MX" w:eastAsia="es-MX"/>
        </w:rPr>
        <w:t>, se llevó a cabo la contratación del servicio de soporte técnico al Software I</w:t>
      </w:r>
      <w:r w:rsidR="00291EC7">
        <w:rPr>
          <w:lang w:val="es-MX" w:eastAsia="es-MX"/>
        </w:rPr>
        <w:t>nteligov “Gobierno sin papel”,</w:t>
      </w:r>
      <w:r w:rsidRPr="00C7244D">
        <w:rPr>
          <w:lang w:val="es-MX" w:eastAsia="es-MX"/>
        </w:rPr>
        <w:t xml:space="preserve"> base del Sistema </w:t>
      </w:r>
      <w:r w:rsidR="00291EC7">
        <w:rPr>
          <w:lang w:val="es-MX" w:eastAsia="es-MX"/>
        </w:rPr>
        <w:t>de</w:t>
      </w:r>
      <w:r w:rsidRPr="00C7244D">
        <w:rPr>
          <w:lang w:val="es-MX" w:eastAsia="es-MX"/>
        </w:rPr>
        <w:t xml:space="preserve"> Gestión Documental GD-Mx</w:t>
      </w:r>
      <w:r w:rsidR="00C7244D" w:rsidRPr="00C7244D">
        <w:rPr>
          <w:lang w:val="es-MX" w:eastAsia="es-MX"/>
        </w:rPr>
        <w:t xml:space="preserve">, </w:t>
      </w:r>
      <w:r w:rsidR="005E626F">
        <w:rPr>
          <w:lang w:val="es-MX" w:eastAsia="es-MX"/>
        </w:rPr>
        <w:t xml:space="preserve">con una </w:t>
      </w:r>
      <w:r w:rsidRPr="00291EC7">
        <w:rPr>
          <w:lang w:val="es-MX" w:eastAsia="es-MX"/>
        </w:rPr>
        <w:t xml:space="preserve">vigencia del 1 de </w:t>
      </w:r>
      <w:r w:rsidR="005E626F">
        <w:rPr>
          <w:lang w:val="es-MX" w:eastAsia="es-MX"/>
        </w:rPr>
        <w:t>enero al 31 de diciembre de 2020</w:t>
      </w:r>
      <w:r w:rsidRPr="00291EC7">
        <w:rPr>
          <w:lang w:val="es-MX" w:eastAsia="es-MX"/>
        </w:rPr>
        <w:t>.</w:t>
      </w:r>
      <w:r w:rsidR="00FB2094" w:rsidRPr="00291EC7">
        <w:rPr>
          <w:lang w:val="es-MX" w:eastAsia="es-MX"/>
        </w:rPr>
        <w:t xml:space="preserve"> </w:t>
      </w:r>
    </w:p>
    <w:p w14:paraId="1F4A43B2" w14:textId="7B967158" w:rsidR="007D6D9C" w:rsidRPr="00FB2094" w:rsidRDefault="007D6D9C" w:rsidP="007D6D9C">
      <w:pPr>
        <w:spacing w:line="360" w:lineRule="auto"/>
        <w:rPr>
          <w:rFonts w:ascii="Arial" w:hAnsi="Arial" w:cs="Arial"/>
          <w:b/>
          <w:sz w:val="18"/>
          <w:szCs w:val="18"/>
          <w:highlight w:val="yellow"/>
        </w:rPr>
      </w:pPr>
    </w:p>
    <w:p w14:paraId="7923EE9F" w14:textId="437F8A7B" w:rsidR="007D6D9C" w:rsidRPr="00755E6A" w:rsidRDefault="007D6D9C" w:rsidP="00C7244D">
      <w:pPr>
        <w:rPr>
          <w:lang w:val="es-MX" w:eastAsia="es-MX"/>
        </w:rPr>
      </w:pPr>
      <w:r w:rsidRPr="00755E6A">
        <w:rPr>
          <w:noProof/>
          <w:lang w:val="es-MX" w:eastAsia="es-MX"/>
        </w:rPr>
        <w:drawing>
          <wp:anchor distT="0" distB="0" distL="114300" distR="114300" simplePos="0" relativeHeight="251699200" behindDoc="0" locked="0" layoutInCell="1" allowOverlap="1" wp14:anchorId="76A5A288" wp14:editId="5E8BC713">
            <wp:simplePos x="0" y="0"/>
            <wp:positionH relativeFrom="margin">
              <wp:align>left</wp:align>
            </wp:positionH>
            <wp:positionV relativeFrom="paragraph">
              <wp:posOffset>12065</wp:posOffset>
            </wp:positionV>
            <wp:extent cx="600075" cy="6000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755E6A">
        <w:rPr>
          <w:lang w:val="es-MX" w:eastAsia="es-MX"/>
        </w:rPr>
        <w:t>De conformidad con lo establecido en el artículo 12, fracción VIII de la Ley Federal de Archivos.</w:t>
      </w:r>
    </w:p>
    <w:p w14:paraId="3705FC78" w14:textId="69AAC8AE" w:rsidR="007D6D9C" w:rsidRPr="00755E6A" w:rsidRDefault="00755E6A" w:rsidP="00291EC7">
      <w:pPr>
        <w:rPr>
          <w:b/>
          <w:lang w:val="es-MX" w:eastAsia="es-MX"/>
        </w:rPr>
      </w:pPr>
      <w:r w:rsidRPr="00755E6A">
        <w:rPr>
          <w:b/>
        </w:rPr>
        <w:t>Avance: 100</w:t>
      </w:r>
      <w:r w:rsidR="007D6D9C" w:rsidRPr="00755E6A">
        <w:rPr>
          <w:b/>
        </w:rPr>
        <w:t>%</w:t>
      </w:r>
    </w:p>
    <w:p w14:paraId="26E03613" w14:textId="02D7EBAB" w:rsidR="00891F96" w:rsidRDefault="00891F96" w:rsidP="00CA7687">
      <w:pPr>
        <w:spacing w:line="360" w:lineRule="auto"/>
        <w:rPr>
          <w:rFonts w:ascii="Arial" w:hAnsi="Arial" w:cs="Arial"/>
          <w:sz w:val="18"/>
          <w:szCs w:val="18"/>
        </w:rPr>
      </w:pPr>
    </w:p>
    <w:p w14:paraId="3078B3B9" w14:textId="77777777" w:rsidR="005E626F" w:rsidRDefault="005E626F" w:rsidP="00CA7687">
      <w:pPr>
        <w:spacing w:line="360" w:lineRule="auto"/>
        <w:rPr>
          <w:rFonts w:ascii="Arial" w:hAnsi="Arial" w:cs="Arial"/>
          <w:sz w:val="18"/>
          <w:szCs w:val="18"/>
        </w:rPr>
      </w:pPr>
    </w:p>
    <w:p w14:paraId="56B470AB" w14:textId="77777777" w:rsidR="00162183" w:rsidRDefault="00162183" w:rsidP="00CA7687">
      <w:pPr>
        <w:spacing w:line="360" w:lineRule="auto"/>
        <w:rPr>
          <w:rFonts w:ascii="Arial" w:hAnsi="Arial" w:cs="Arial"/>
          <w:sz w:val="18"/>
          <w:szCs w:val="18"/>
        </w:rPr>
      </w:pPr>
    </w:p>
    <w:p w14:paraId="5777A149" w14:textId="4004D350" w:rsidR="00162183" w:rsidRPr="003E391D" w:rsidRDefault="00162183" w:rsidP="000011C0">
      <w:pPr>
        <w:pStyle w:val="Ttulo3"/>
        <w:rPr>
          <w:lang w:val="es-MX" w:eastAsia="es-MX"/>
        </w:rPr>
      </w:pPr>
      <w:bookmarkStart w:id="15" w:name="_Toc25709537"/>
      <w:r w:rsidRPr="003E391D">
        <w:rPr>
          <w:lang w:val="es-MX" w:eastAsia="es-MX"/>
        </w:rPr>
        <w:t>1.2D Preparar los expedientes que de acuerdo al calendario de caducidades documentales del archivo de concentración son valoración documental para determinar su destino final.</w:t>
      </w:r>
      <w:bookmarkEnd w:id="15"/>
    </w:p>
    <w:p w14:paraId="296B48AF" w14:textId="77777777" w:rsidR="004E251F" w:rsidRPr="003E391D" w:rsidRDefault="004E251F" w:rsidP="004E251F">
      <w:pPr>
        <w:rPr>
          <w:lang w:val="es-MX" w:eastAsia="es-MX"/>
        </w:rPr>
      </w:pPr>
    </w:p>
    <w:p w14:paraId="4A838310" w14:textId="784A25D7" w:rsidR="007116E0" w:rsidRPr="007116E0" w:rsidRDefault="005E626F" w:rsidP="004E251F">
      <w:r w:rsidRPr="007116E0">
        <w:t xml:space="preserve">Durante el 2019 no </w:t>
      </w:r>
      <w:r w:rsidR="007116E0" w:rsidRPr="007116E0">
        <w:t>se promovió la baja documental de expedientes que integran las series documentales que hayan cumplido con su vigencia documental y, en su caso, plazos de conservación y que no posean valores históricos, conforme a las disposiciones jurídicas aplicables, toda vez que se trabajó sobre la identificación de los expedientes que integran las series documentales que han cumplido su vigencia documental y cuentan con valores históricos con miras a la conformación del Archivo Histórico del INAI.</w:t>
      </w:r>
    </w:p>
    <w:p w14:paraId="4F9AA017" w14:textId="77777777" w:rsidR="007116E0" w:rsidRPr="007116E0" w:rsidRDefault="007116E0" w:rsidP="004E251F"/>
    <w:p w14:paraId="3AB83820" w14:textId="29AB62B4" w:rsidR="00162183" w:rsidRPr="007116E0" w:rsidRDefault="00162183" w:rsidP="00C45AED">
      <w:pPr>
        <w:rPr>
          <w:lang w:val="es-MX" w:eastAsia="es-MX"/>
        </w:rPr>
      </w:pPr>
      <w:r w:rsidRPr="007116E0">
        <w:rPr>
          <w:noProof/>
          <w:lang w:val="es-MX" w:eastAsia="es-MX"/>
        </w:rPr>
        <w:lastRenderedPageBreak/>
        <w:drawing>
          <wp:anchor distT="0" distB="0" distL="114300" distR="114300" simplePos="0" relativeHeight="251706368" behindDoc="0" locked="0" layoutInCell="1" allowOverlap="1" wp14:anchorId="711BC5C1" wp14:editId="517E82C9">
            <wp:simplePos x="0" y="0"/>
            <wp:positionH relativeFrom="margin">
              <wp:align>left</wp:align>
            </wp:positionH>
            <wp:positionV relativeFrom="paragraph">
              <wp:posOffset>12065</wp:posOffset>
            </wp:positionV>
            <wp:extent cx="600075" cy="600075"/>
            <wp:effectExtent l="0" t="0" r="9525" b="952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7116E0">
        <w:rPr>
          <w:lang w:val="es-MX" w:eastAsia="es-MX"/>
        </w:rPr>
        <w:t>De conformidad con lo establecido en el artículo 12, fracción VII de la Ley Federal de Archivos.</w:t>
      </w:r>
    </w:p>
    <w:p w14:paraId="484DF0CD" w14:textId="36700F9C" w:rsidR="00162183" w:rsidRPr="007116E0" w:rsidRDefault="00162183" w:rsidP="00C45AED">
      <w:pPr>
        <w:spacing w:line="360" w:lineRule="auto"/>
        <w:rPr>
          <w:rFonts w:ascii="Arial" w:hAnsi="Arial" w:cs="Arial"/>
          <w:lang w:val="es-MX" w:eastAsia="es-MX"/>
        </w:rPr>
      </w:pPr>
      <w:r w:rsidRPr="007116E0">
        <w:rPr>
          <w:rFonts w:ascii="Arial" w:hAnsi="Arial" w:cs="Arial"/>
          <w:b/>
        </w:rPr>
        <w:t xml:space="preserve">Avance: </w:t>
      </w:r>
      <w:r w:rsidR="00A9738F">
        <w:rPr>
          <w:rFonts w:ascii="Arial" w:hAnsi="Arial" w:cs="Arial"/>
          <w:b/>
        </w:rPr>
        <w:t>10</w:t>
      </w:r>
      <w:r w:rsidRPr="007116E0">
        <w:rPr>
          <w:rFonts w:ascii="Arial" w:hAnsi="Arial" w:cs="Arial"/>
          <w:b/>
        </w:rPr>
        <w:t>0%</w:t>
      </w:r>
    </w:p>
    <w:p w14:paraId="5804E008" w14:textId="60A331C5" w:rsidR="00162183" w:rsidRPr="007116E0" w:rsidRDefault="00162183" w:rsidP="00CA7687">
      <w:pPr>
        <w:spacing w:line="360" w:lineRule="auto"/>
        <w:rPr>
          <w:rFonts w:ascii="Arial" w:hAnsi="Arial" w:cs="Arial"/>
          <w:b/>
        </w:rPr>
      </w:pPr>
    </w:p>
    <w:p w14:paraId="6FB94162" w14:textId="7481053E" w:rsidR="00E34BB5" w:rsidRDefault="00E34BB5" w:rsidP="00CA7687">
      <w:pPr>
        <w:spacing w:line="360" w:lineRule="auto"/>
        <w:rPr>
          <w:rFonts w:ascii="Arial" w:hAnsi="Arial" w:cs="Arial"/>
          <w:b/>
          <w:highlight w:val="yellow"/>
        </w:rPr>
      </w:pPr>
    </w:p>
    <w:p w14:paraId="78E0359C" w14:textId="266C2EC9" w:rsidR="00162183" w:rsidRDefault="000C7DDB" w:rsidP="000011C0">
      <w:pPr>
        <w:pStyle w:val="Ttulo3"/>
        <w:rPr>
          <w:lang w:val="es-MX" w:eastAsia="es-MX"/>
        </w:rPr>
      </w:pPr>
      <w:bookmarkStart w:id="16" w:name="_Toc25709538"/>
      <w:r>
        <w:rPr>
          <w:lang w:val="es-MX" w:eastAsia="es-MX"/>
        </w:rPr>
        <w:t xml:space="preserve">1.2E </w:t>
      </w:r>
      <w:r w:rsidR="00162183" w:rsidRPr="00C45AED">
        <w:rPr>
          <w:lang w:val="es-MX" w:eastAsia="es-MX"/>
        </w:rPr>
        <w:t>Organizar y conservar los expedientes transferidos al Archivo de Concentración</w:t>
      </w:r>
      <w:r w:rsidR="00385BA1">
        <w:rPr>
          <w:lang w:val="es-MX" w:eastAsia="es-MX"/>
        </w:rPr>
        <w:t>.</w:t>
      </w:r>
      <w:bookmarkEnd w:id="16"/>
    </w:p>
    <w:p w14:paraId="0CE3D70B" w14:textId="77777777" w:rsidR="00385BA1" w:rsidRPr="00385BA1" w:rsidRDefault="00385BA1" w:rsidP="00385BA1">
      <w:pPr>
        <w:rPr>
          <w:lang w:val="es-MX" w:eastAsia="es-MX"/>
        </w:rPr>
      </w:pPr>
    </w:p>
    <w:p w14:paraId="5845BABE" w14:textId="78B34883" w:rsidR="00162183" w:rsidRDefault="00162183" w:rsidP="007116E0">
      <w:r w:rsidRPr="00C45AED">
        <w:t xml:space="preserve">Como parte </w:t>
      </w:r>
      <w:r w:rsidR="007116E0">
        <w:t xml:space="preserve">del proyecto de la Dirección General de Gestión de Información y Estudios para la conformación del Archivo Histórico del INAI (Primera fase), el personal adscrito a la DGGIE en coordinación con el personal designado por la </w:t>
      </w:r>
      <w:r w:rsidR="00A9738F">
        <w:t>empresa</w:t>
      </w:r>
      <w:r w:rsidR="007116E0">
        <w:t xml:space="preserve"> Jard Corporativo S.C., empresa contratada para la elaboración de un diagnóstico integral realizaron las siguientes actividades </w:t>
      </w:r>
      <w:r w:rsidR="00F812C8">
        <w:t xml:space="preserve">para la </w:t>
      </w:r>
      <w:r w:rsidR="00560A65" w:rsidRPr="00C45AED">
        <w:t xml:space="preserve">reorganización </w:t>
      </w:r>
      <w:r w:rsidR="00385BA1">
        <w:t>de</w:t>
      </w:r>
      <w:r w:rsidR="00560A65" w:rsidRPr="00C45AED">
        <w:t xml:space="preserve"> los</w:t>
      </w:r>
      <w:r w:rsidRPr="00C45AED">
        <w:t xml:space="preserve"> expedientes de recursos de r</w:t>
      </w:r>
      <w:r w:rsidR="001805E6" w:rsidRPr="00C45AED">
        <w:t xml:space="preserve">evisión de las anualidades 2003 a </w:t>
      </w:r>
      <w:r w:rsidR="00F812C8">
        <w:t>2013</w:t>
      </w:r>
      <w:r w:rsidR="007116E0">
        <w:t>:</w:t>
      </w:r>
    </w:p>
    <w:p w14:paraId="1E6EE192" w14:textId="77777777" w:rsidR="009143FE" w:rsidRPr="00C45AED" w:rsidRDefault="009143FE" w:rsidP="00C45AED"/>
    <w:p w14:paraId="77EBDFC1" w14:textId="1FCDA8FF" w:rsidR="00C45AED" w:rsidRDefault="006D7171" w:rsidP="007116E0">
      <w:pPr>
        <w:pStyle w:val="Prrafodelista"/>
        <w:numPr>
          <w:ilvl w:val="0"/>
          <w:numId w:val="26"/>
        </w:numPr>
      </w:pPr>
      <w:r>
        <w:t>Se realizó el cotejo</w:t>
      </w:r>
      <w:r w:rsidR="00916609">
        <w:t xml:space="preserve"> de</w:t>
      </w:r>
      <w:r>
        <w:t xml:space="preserve"> </w:t>
      </w:r>
      <w:r w:rsidR="00560A65" w:rsidRPr="00C45AED">
        <w:t>los expedientes de los recurso</w:t>
      </w:r>
      <w:r w:rsidR="004E251F" w:rsidRPr="00C45AED">
        <w:t>s</w:t>
      </w:r>
      <w:r w:rsidR="00DB224E" w:rsidRPr="00C45AED">
        <w:t xml:space="preserve"> de revisión </w:t>
      </w:r>
      <w:r w:rsidR="00C45AED">
        <w:t>producidos en e</w:t>
      </w:r>
      <w:r w:rsidR="00DB224E" w:rsidRPr="00C45AED">
        <w:t>l periodo</w:t>
      </w:r>
      <w:r>
        <w:t xml:space="preserve"> 2003 a 2013</w:t>
      </w:r>
      <w:r w:rsidR="00916609" w:rsidRPr="00916609">
        <w:t xml:space="preserve"> </w:t>
      </w:r>
      <w:r w:rsidR="007116E0">
        <w:t>contra el Inventario G</w:t>
      </w:r>
      <w:r w:rsidR="00916609" w:rsidRPr="00C45AED">
        <w:t>eneral</w:t>
      </w:r>
      <w:r w:rsidR="00916609">
        <w:t xml:space="preserve"> del Archivo de Concentración</w:t>
      </w:r>
      <w:r w:rsidR="007116E0">
        <w:t xml:space="preserve"> que elaborado como parte del diagnóstico para la conformación del Archivo Histórico del INAI</w:t>
      </w:r>
      <w:r w:rsidR="00560A65" w:rsidRPr="00C45AED">
        <w:t>, con el objeto de identificar los</w:t>
      </w:r>
      <w:r w:rsidR="00916609">
        <w:t xml:space="preserve"> expedientes</w:t>
      </w:r>
      <w:r w:rsidR="00560A65" w:rsidRPr="00C45AED">
        <w:t xml:space="preserve"> </w:t>
      </w:r>
      <w:r w:rsidR="007116E0">
        <w:t xml:space="preserve">que fueron transferidos previos a la </w:t>
      </w:r>
      <w:r w:rsidR="00A9738F">
        <w:t>implementación</w:t>
      </w:r>
      <w:r w:rsidR="007116E0">
        <w:t xml:space="preserve"> del Sistema D-Mx y no cuentan contaban con registro en el mismo.</w:t>
      </w:r>
    </w:p>
    <w:p w14:paraId="1E2E5085" w14:textId="77777777" w:rsidR="007116E0" w:rsidRDefault="007116E0" w:rsidP="007116E0">
      <w:pPr>
        <w:pStyle w:val="Prrafodelista"/>
      </w:pPr>
    </w:p>
    <w:p w14:paraId="754FEF52" w14:textId="5328A9BD" w:rsidR="00916609" w:rsidRDefault="00916609" w:rsidP="00916609">
      <w:pPr>
        <w:pStyle w:val="Prrafodelista"/>
        <w:numPr>
          <w:ilvl w:val="0"/>
          <w:numId w:val="26"/>
        </w:numPr>
      </w:pPr>
      <w:r>
        <w:t>S</w:t>
      </w:r>
      <w:r w:rsidRPr="00C45AED">
        <w:t xml:space="preserve">e reordenaron por número consecutivo de medio de impugnación </w:t>
      </w:r>
      <w:r>
        <w:t>l</w:t>
      </w:r>
      <w:r w:rsidRPr="00C45AED">
        <w:t xml:space="preserve">os </w:t>
      </w:r>
      <w:r w:rsidR="00C131FE">
        <w:t>5,748</w:t>
      </w:r>
      <w:r w:rsidRPr="00C45AED">
        <w:t xml:space="preserve"> expedientes de los recursos de revis</w:t>
      </w:r>
      <w:r>
        <w:t>i</w:t>
      </w:r>
      <w:r w:rsidRPr="00C45AED">
        <w:t>ó</w:t>
      </w:r>
      <w:r>
        <w:t>n</w:t>
      </w:r>
      <w:r w:rsidRPr="00C45AED">
        <w:t xml:space="preserve"> del año 2012</w:t>
      </w:r>
      <w:r>
        <w:t xml:space="preserve">, </w:t>
      </w:r>
      <w:r w:rsidRPr="00C45AED">
        <w:t>para ello fue necesario sacar los ex</w:t>
      </w:r>
      <w:r>
        <w:t>pedientes de las cajas en las que fueron transferidos</w:t>
      </w:r>
      <w:r w:rsidRPr="00C45AED">
        <w:t>,</w:t>
      </w:r>
      <w:r>
        <w:t xml:space="preserve"> para</w:t>
      </w:r>
      <w:r w:rsidRPr="00C45AED">
        <w:t xml:space="preserve"> </w:t>
      </w:r>
      <w:r>
        <w:t>re</w:t>
      </w:r>
      <w:r w:rsidRPr="00C45AED">
        <w:t xml:space="preserve">organizarlos siguiendo el orden señalado. </w:t>
      </w:r>
    </w:p>
    <w:p w14:paraId="18D1CF1E" w14:textId="77777777" w:rsidR="00291EC7" w:rsidRDefault="00291EC7" w:rsidP="00291EC7"/>
    <w:p w14:paraId="5A0477BD" w14:textId="53A70D3F" w:rsidR="00C7244D" w:rsidRDefault="00560A65" w:rsidP="00291EC7">
      <w:pPr>
        <w:pStyle w:val="Prrafodelista"/>
        <w:numPr>
          <w:ilvl w:val="0"/>
          <w:numId w:val="26"/>
        </w:numPr>
      </w:pPr>
      <w:r w:rsidRPr="00C45AED">
        <w:t>Se realizó el cambio de cajas contenedoras de los expedientes de los recursos de revisión</w:t>
      </w:r>
      <w:r w:rsidR="00C45AED">
        <w:t xml:space="preserve"> de las anualidades 2010 a 2012</w:t>
      </w:r>
      <w:r w:rsidR="00DB224E" w:rsidRPr="00C45AED">
        <w:t xml:space="preserve"> y se instalaron </w:t>
      </w:r>
      <w:r w:rsidRPr="00C45AED">
        <w:t>en</w:t>
      </w:r>
      <w:r w:rsidR="00DB224E" w:rsidRPr="00C45AED">
        <w:t xml:space="preserve"> la</w:t>
      </w:r>
      <w:r w:rsidRPr="00C45AED">
        <w:t xml:space="preserve"> estantería</w:t>
      </w:r>
      <w:r w:rsidR="00E34BB5">
        <w:t xml:space="preserve"> </w:t>
      </w:r>
      <w:r w:rsidRPr="00C45AED">
        <w:t xml:space="preserve">móvil, </w:t>
      </w:r>
      <w:r w:rsidR="00DB224E" w:rsidRPr="00C45AED">
        <w:t xml:space="preserve">asimismo se realizó el trasvase </w:t>
      </w:r>
      <w:r w:rsidRPr="00C45AED">
        <w:t>de cajas de los expedientes de los recursos de revisión del año 2013</w:t>
      </w:r>
      <w:r w:rsidR="00DB224E" w:rsidRPr="00C45AED">
        <w:t xml:space="preserve"> a cajas contend</w:t>
      </w:r>
      <w:r w:rsidR="00C45AED">
        <w:t>oras de documentación histórica</w:t>
      </w:r>
      <w:r w:rsidRPr="00C45AED">
        <w:t>.</w:t>
      </w:r>
    </w:p>
    <w:p w14:paraId="770042C8" w14:textId="77777777" w:rsidR="00C7244D" w:rsidRDefault="00C7244D" w:rsidP="00C7244D">
      <w:pPr>
        <w:pStyle w:val="Prrafodelista"/>
      </w:pPr>
    </w:p>
    <w:p w14:paraId="00F34100" w14:textId="36BA44EC" w:rsidR="00C7244D" w:rsidRDefault="00C7244D" w:rsidP="00C7244D">
      <w:pPr>
        <w:pStyle w:val="Prrafodelista"/>
        <w:numPr>
          <w:ilvl w:val="0"/>
          <w:numId w:val="26"/>
        </w:numPr>
      </w:pPr>
      <w:r>
        <w:lastRenderedPageBreak/>
        <w:t xml:space="preserve">Se realizó la rotulación de las cajas contenedoras de expedientes </w:t>
      </w:r>
      <w:r w:rsidR="00162183" w:rsidRPr="00C45AED">
        <w:t>con</w:t>
      </w:r>
      <w:r>
        <w:t xml:space="preserve"> conforme </w:t>
      </w:r>
      <w:r w:rsidR="00162183" w:rsidRPr="00C45AED">
        <w:t>al nuevo ordenamiento</w:t>
      </w:r>
      <w:r>
        <w:t>, para esto fue necesario realizar trabajos de retiro de etiquetas obsoletas, y pegado de etiquetas con rótulos actualizados.</w:t>
      </w:r>
    </w:p>
    <w:p w14:paraId="11FBCDBF" w14:textId="77777777" w:rsidR="00923724" w:rsidRDefault="00923724" w:rsidP="00923724">
      <w:pPr>
        <w:pStyle w:val="Sinespaciado"/>
      </w:pPr>
    </w:p>
    <w:p w14:paraId="125B6003" w14:textId="243AA3AF" w:rsidR="00162183" w:rsidRDefault="00C45AED" w:rsidP="00C7244D">
      <w:pPr>
        <w:pStyle w:val="Prrafodelista"/>
        <w:numPr>
          <w:ilvl w:val="0"/>
          <w:numId w:val="26"/>
        </w:numPr>
      </w:pPr>
      <w:r>
        <w:t>Se realizó la descripción de 111</w:t>
      </w:r>
      <w:r w:rsidR="00162183" w:rsidRPr="00C45AED">
        <w:t xml:space="preserve"> expedientes </w:t>
      </w:r>
      <w:r w:rsidR="009143FE">
        <w:t>de</w:t>
      </w:r>
      <w:r>
        <w:t xml:space="preserve"> los recursos de revisión </w:t>
      </w:r>
      <w:r w:rsidR="00162183" w:rsidRPr="00C45AED">
        <w:t xml:space="preserve">que </w:t>
      </w:r>
      <w:r>
        <w:t>no tenían registro en el sistema de gestión documental</w:t>
      </w:r>
      <w:r w:rsidR="00291EC7">
        <w:t xml:space="preserve"> y se generaron sus cará</w:t>
      </w:r>
      <w:r w:rsidR="009143FE">
        <w:t>t</w:t>
      </w:r>
      <w:r w:rsidR="00C7244D">
        <w:t xml:space="preserve">ulas </w:t>
      </w:r>
      <w:r w:rsidR="009143FE">
        <w:t>de identificación.</w:t>
      </w:r>
    </w:p>
    <w:p w14:paraId="6F695C0F" w14:textId="77777777" w:rsidR="00C7244D" w:rsidRDefault="00C7244D" w:rsidP="00C7244D">
      <w:pPr>
        <w:pStyle w:val="Prrafodelista"/>
      </w:pPr>
    </w:p>
    <w:p w14:paraId="17622C84" w14:textId="3CBDBCE7" w:rsidR="00162183" w:rsidRPr="00923724" w:rsidRDefault="00162183" w:rsidP="00291EC7">
      <w:pPr>
        <w:rPr>
          <w:lang w:val="es-MX" w:eastAsia="es-MX"/>
        </w:rPr>
      </w:pPr>
      <w:r w:rsidRPr="00923724">
        <w:rPr>
          <w:noProof/>
          <w:lang w:val="es-MX" w:eastAsia="es-MX"/>
        </w:rPr>
        <w:drawing>
          <wp:anchor distT="0" distB="0" distL="114300" distR="114300" simplePos="0" relativeHeight="251708416" behindDoc="0" locked="0" layoutInCell="1" allowOverlap="1" wp14:anchorId="761801F6" wp14:editId="1210358D">
            <wp:simplePos x="0" y="0"/>
            <wp:positionH relativeFrom="margin">
              <wp:align>left</wp:align>
            </wp:positionH>
            <wp:positionV relativeFrom="paragraph">
              <wp:posOffset>12065</wp:posOffset>
            </wp:positionV>
            <wp:extent cx="600075" cy="600075"/>
            <wp:effectExtent l="0" t="0" r="9525"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923724">
        <w:rPr>
          <w:lang w:val="es-MX" w:eastAsia="es-MX"/>
        </w:rPr>
        <w:t>De conformidad con lo establecido en el artículo 12, fracción IV de la Ley Federal de Archivos.</w:t>
      </w:r>
    </w:p>
    <w:p w14:paraId="2C528DD5" w14:textId="6CBEBC2A" w:rsidR="00162183" w:rsidRPr="00923724" w:rsidRDefault="00162183" w:rsidP="00291EC7">
      <w:pPr>
        <w:rPr>
          <w:b/>
        </w:rPr>
      </w:pPr>
      <w:r w:rsidRPr="00923724">
        <w:rPr>
          <w:b/>
        </w:rPr>
        <w:t xml:space="preserve">Avance: </w:t>
      </w:r>
      <w:r w:rsidR="00923724" w:rsidRPr="00923724">
        <w:rPr>
          <w:b/>
        </w:rPr>
        <w:t>10</w:t>
      </w:r>
      <w:r w:rsidRPr="00923724">
        <w:rPr>
          <w:b/>
        </w:rPr>
        <w:t>0%</w:t>
      </w:r>
    </w:p>
    <w:p w14:paraId="6C21B0C3" w14:textId="3DE429B3" w:rsidR="00F925BA" w:rsidRDefault="00F925BA" w:rsidP="00162183">
      <w:pPr>
        <w:spacing w:line="360" w:lineRule="auto"/>
        <w:ind w:left="1416"/>
        <w:rPr>
          <w:rFonts w:ascii="Arial" w:hAnsi="Arial" w:cs="Arial"/>
          <w:highlight w:val="yellow"/>
          <w:lang w:val="es-MX" w:eastAsia="es-MX"/>
        </w:rPr>
      </w:pPr>
    </w:p>
    <w:p w14:paraId="752095E9" w14:textId="77777777" w:rsidR="004213FE" w:rsidRPr="007D6D9C" w:rsidRDefault="004213FE" w:rsidP="00162183">
      <w:pPr>
        <w:spacing w:line="360" w:lineRule="auto"/>
        <w:ind w:left="1416"/>
        <w:rPr>
          <w:rFonts w:ascii="Arial" w:hAnsi="Arial" w:cs="Arial"/>
          <w:highlight w:val="yellow"/>
          <w:lang w:val="es-MX" w:eastAsia="es-MX"/>
        </w:rPr>
      </w:pPr>
    </w:p>
    <w:p w14:paraId="5BA27B73" w14:textId="39A49A66" w:rsidR="00162183" w:rsidRDefault="001644A5" w:rsidP="000011C0">
      <w:pPr>
        <w:pStyle w:val="Ttulo3"/>
        <w:rPr>
          <w:lang w:val="es-MX" w:eastAsia="es-MX"/>
        </w:rPr>
      </w:pPr>
      <w:bookmarkStart w:id="17" w:name="_Toc25709539"/>
      <w:r w:rsidRPr="0075154D">
        <w:rPr>
          <w:lang w:val="es-MX" w:eastAsia="es-MX"/>
        </w:rPr>
        <w:t>1.2</w:t>
      </w:r>
      <w:r w:rsidR="00162183" w:rsidRPr="0075154D">
        <w:rPr>
          <w:lang w:val="es-MX" w:eastAsia="es-MX"/>
        </w:rPr>
        <w:t>F Efectuar la descripción documental de los expedientes transferi</w:t>
      </w:r>
      <w:r w:rsidR="005E5FC4" w:rsidRPr="0075154D">
        <w:rPr>
          <w:lang w:val="es-MX" w:eastAsia="es-MX"/>
        </w:rPr>
        <w:t>dos al Archivo de Concentración.</w:t>
      </w:r>
      <w:bookmarkEnd w:id="17"/>
    </w:p>
    <w:p w14:paraId="470129BA" w14:textId="77777777" w:rsidR="0075154D" w:rsidRPr="0075154D" w:rsidRDefault="0075154D" w:rsidP="0075154D">
      <w:pPr>
        <w:rPr>
          <w:lang w:val="es-MX" w:eastAsia="es-MX"/>
        </w:rPr>
      </w:pPr>
    </w:p>
    <w:p w14:paraId="5D5015B9" w14:textId="65004657" w:rsidR="00A177BA" w:rsidRDefault="005E5FC4" w:rsidP="00927811">
      <w:r w:rsidRPr="0075154D">
        <w:rPr>
          <w:lang w:val="es-MX" w:eastAsia="es-MX"/>
        </w:rPr>
        <w:t>Como parte d</w:t>
      </w:r>
      <w:r w:rsidR="0075154D">
        <w:rPr>
          <w:lang w:val="es-MX" w:eastAsia="es-MX"/>
        </w:rPr>
        <w:t xml:space="preserve">e sus actividades de control de los expedientes bajo resguardo del Archivo de Concentración, en 2019 </w:t>
      </w:r>
      <w:r w:rsidR="00162183" w:rsidRPr="0075154D">
        <w:rPr>
          <w:lang w:val="es-MX" w:eastAsia="es-MX"/>
        </w:rPr>
        <w:t xml:space="preserve">se </w:t>
      </w:r>
      <w:r w:rsidR="0075154D">
        <w:rPr>
          <w:lang w:val="es-MX" w:eastAsia="es-MX"/>
        </w:rPr>
        <w:t xml:space="preserve">realizó la descripción y registro en el sistema D-MX de </w:t>
      </w:r>
      <w:r w:rsidR="00927811">
        <w:rPr>
          <w:b/>
          <w:lang w:val="es-MX" w:eastAsia="es-MX"/>
        </w:rPr>
        <w:t>201</w:t>
      </w:r>
      <w:r w:rsidR="00496087" w:rsidRPr="00496087">
        <w:rPr>
          <w:b/>
          <w:lang w:val="es-MX" w:eastAsia="es-MX"/>
        </w:rPr>
        <w:t xml:space="preserve"> </w:t>
      </w:r>
      <w:r w:rsidR="0075154D" w:rsidRPr="00496087">
        <w:rPr>
          <w:b/>
          <w:lang w:val="es-MX" w:eastAsia="es-MX"/>
        </w:rPr>
        <w:t>expedientes</w:t>
      </w:r>
      <w:r w:rsidR="00880470">
        <w:rPr>
          <w:lang w:val="es-MX" w:eastAsia="es-MX"/>
        </w:rPr>
        <w:t xml:space="preserve"> recibidos en transferencia</w:t>
      </w:r>
      <w:r w:rsidR="0075154D">
        <w:rPr>
          <w:lang w:val="es-MX" w:eastAsia="es-MX"/>
        </w:rPr>
        <w:t xml:space="preserve"> </w:t>
      </w:r>
      <w:r w:rsidR="00927811">
        <w:t>que se identificaron sin este requisito.</w:t>
      </w:r>
    </w:p>
    <w:p w14:paraId="56975E2E" w14:textId="77777777" w:rsidR="00927811" w:rsidRPr="00927811" w:rsidRDefault="00927811" w:rsidP="00927811">
      <w:pPr>
        <w:rPr>
          <w:lang w:val="es-MX" w:eastAsia="es-MX"/>
        </w:rPr>
      </w:pPr>
    </w:p>
    <w:tbl>
      <w:tblPr>
        <w:tblStyle w:val="Tabladecuadrcula4-nfasis4"/>
        <w:tblW w:w="8642" w:type="dxa"/>
        <w:jc w:val="center"/>
        <w:tblLook w:val="04A0" w:firstRow="1" w:lastRow="0" w:firstColumn="1" w:lastColumn="0" w:noHBand="0" w:noVBand="1"/>
      </w:tblPr>
      <w:tblGrid>
        <w:gridCol w:w="4390"/>
        <w:gridCol w:w="4252"/>
      </w:tblGrid>
      <w:tr w:rsidR="00162183" w:rsidRPr="00131DD9" w14:paraId="51E49552" w14:textId="77777777" w:rsidTr="000C33C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noWrap/>
          </w:tcPr>
          <w:p w14:paraId="18B71164" w14:textId="154A419A" w:rsidR="00162183" w:rsidRPr="00131DD9" w:rsidRDefault="00E17B9D" w:rsidP="00131DD9">
            <w:pPr>
              <w:jc w:val="center"/>
              <w:rPr>
                <w:rFonts w:asciiTheme="minorHAnsi" w:hAnsiTheme="minorHAnsi" w:cstheme="minorHAnsi"/>
                <w:sz w:val="22"/>
                <w:lang w:eastAsia="es-MX"/>
              </w:rPr>
            </w:pPr>
            <w:r w:rsidRPr="00131DD9">
              <w:rPr>
                <w:rFonts w:asciiTheme="minorHAnsi" w:hAnsiTheme="minorHAnsi" w:cstheme="minorHAnsi"/>
                <w:sz w:val="22"/>
                <w:lang w:eastAsia="es-MX"/>
              </w:rPr>
              <w:t>Actividad</w:t>
            </w:r>
          </w:p>
        </w:tc>
        <w:tc>
          <w:tcPr>
            <w:tcW w:w="4252" w:type="dxa"/>
            <w:noWrap/>
            <w:hideMark/>
          </w:tcPr>
          <w:p w14:paraId="4222F382" w14:textId="77777777" w:rsidR="00162183" w:rsidRPr="00131DD9" w:rsidRDefault="00162183" w:rsidP="00131D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lang w:eastAsia="es-MX"/>
              </w:rPr>
            </w:pPr>
            <w:r w:rsidRPr="00131DD9">
              <w:rPr>
                <w:rFonts w:asciiTheme="minorHAnsi" w:hAnsiTheme="minorHAnsi" w:cstheme="minorHAnsi"/>
                <w:sz w:val="22"/>
                <w:lang w:eastAsia="es-MX"/>
              </w:rPr>
              <w:t>No. Expedientes</w:t>
            </w:r>
          </w:p>
        </w:tc>
      </w:tr>
      <w:tr w:rsidR="00880470" w:rsidRPr="00131DD9" w14:paraId="4EC05DAF" w14:textId="77777777" w:rsidTr="000C33C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Merge w:val="restart"/>
            <w:noWrap/>
          </w:tcPr>
          <w:p w14:paraId="4941557D" w14:textId="65396180" w:rsidR="00880470" w:rsidRPr="00131DD9" w:rsidRDefault="00880470" w:rsidP="000C33CA">
            <w:pPr>
              <w:rPr>
                <w:rFonts w:asciiTheme="minorHAnsi" w:hAnsiTheme="minorHAnsi" w:cstheme="minorHAnsi"/>
                <w:b w:val="0"/>
                <w:sz w:val="22"/>
              </w:rPr>
            </w:pPr>
            <w:r w:rsidRPr="00131DD9">
              <w:rPr>
                <w:rFonts w:asciiTheme="minorHAnsi" w:hAnsiTheme="minorHAnsi" w:cstheme="minorHAnsi"/>
                <w:b w:val="0"/>
                <w:sz w:val="22"/>
              </w:rPr>
              <w:t>RECURSOS FINANCIEROS, serie Registros contables</w:t>
            </w:r>
            <w:r w:rsidR="000C33CA" w:rsidRPr="00131DD9">
              <w:rPr>
                <w:rFonts w:asciiTheme="minorHAnsi" w:hAnsiTheme="minorHAnsi" w:cstheme="minorHAnsi"/>
                <w:b w:val="0"/>
                <w:sz w:val="22"/>
              </w:rPr>
              <w:t xml:space="preserve"> </w:t>
            </w:r>
            <w:r w:rsidRPr="00131DD9">
              <w:rPr>
                <w:rFonts w:asciiTheme="minorHAnsi" w:hAnsiTheme="minorHAnsi" w:cstheme="minorHAnsi"/>
                <w:b w:val="0"/>
                <w:sz w:val="22"/>
              </w:rPr>
              <w:t>(glosa)</w:t>
            </w:r>
          </w:p>
        </w:tc>
        <w:tc>
          <w:tcPr>
            <w:tcW w:w="4252" w:type="dxa"/>
            <w:shd w:val="clear" w:color="auto" w:fill="FFFFFF" w:themeFill="background1"/>
            <w:noWrap/>
          </w:tcPr>
          <w:p w14:paraId="277E0F6B" w14:textId="77777777" w:rsidR="00880470" w:rsidRPr="00131DD9" w:rsidRDefault="00880470" w:rsidP="000C33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 xml:space="preserve">38 </w:t>
            </w:r>
          </w:p>
          <w:p w14:paraId="6A79690F" w14:textId="48E7C608" w:rsidR="00880470" w:rsidRPr="00131DD9" w:rsidRDefault="00880470" w:rsidP="000C33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eastAsia="es-MX"/>
              </w:rPr>
            </w:pPr>
            <w:r w:rsidRPr="00131DD9">
              <w:rPr>
                <w:rFonts w:asciiTheme="minorHAnsi" w:hAnsiTheme="minorHAnsi" w:cstheme="minorHAnsi"/>
                <w:sz w:val="22"/>
              </w:rPr>
              <w:t>Pólizas de cuentas por pagar 2006</w:t>
            </w:r>
          </w:p>
        </w:tc>
      </w:tr>
      <w:tr w:rsidR="00880470" w:rsidRPr="00131DD9" w14:paraId="6B8639AF" w14:textId="77777777" w:rsidTr="000C33CA">
        <w:trPr>
          <w:trHeight w:val="300"/>
          <w:jc w:val="center"/>
        </w:trPr>
        <w:tc>
          <w:tcPr>
            <w:cnfStyle w:val="001000000000" w:firstRow="0" w:lastRow="0" w:firstColumn="1" w:lastColumn="0" w:oddVBand="0" w:evenVBand="0" w:oddHBand="0" w:evenHBand="0" w:firstRowFirstColumn="0" w:firstRowLastColumn="0" w:lastRowFirstColumn="0" w:lastRowLastColumn="0"/>
            <w:tcW w:w="4390" w:type="dxa"/>
            <w:vMerge/>
            <w:noWrap/>
          </w:tcPr>
          <w:p w14:paraId="7A5D6440" w14:textId="77777777" w:rsidR="00880470" w:rsidRPr="00131DD9" w:rsidRDefault="00880470" w:rsidP="000C33CA">
            <w:pPr>
              <w:rPr>
                <w:rFonts w:asciiTheme="minorHAnsi" w:hAnsiTheme="minorHAnsi" w:cstheme="minorHAnsi"/>
                <w:b w:val="0"/>
                <w:sz w:val="22"/>
              </w:rPr>
            </w:pPr>
          </w:p>
        </w:tc>
        <w:tc>
          <w:tcPr>
            <w:tcW w:w="4252" w:type="dxa"/>
            <w:noWrap/>
          </w:tcPr>
          <w:p w14:paraId="563CC04D" w14:textId="77777777" w:rsidR="00880470" w:rsidRPr="00131DD9" w:rsidRDefault="00880470" w:rsidP="000C33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62</w:t>
            </w:r>
          </w:p>
          <w:p w14:paraId="6BDBD4F9" w14:textId="5778272E" w:rsidR="00880470" w:rsidRPr="00131DD9" w:rsidRDefault="00880470" w:rsidP="000C33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Pólizas de cuentas por pagar 2007</w:t>
            </w:r>
          </w:p>
        </w:tc>
      </w:tr>
      <w:tr w:rsidR="00927811" w:rsidRPr="00131DD9" w14:paraId="3644337B" w14:textId="77777777" w:rsidTr="000C33C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noWrap/>
          </w:tcPr>
          <w:p w14:paraId="1B375364" w14:textId="70A60C7F" w:rsidR="00927811" w:rsidRPr="00131DD9" w:rsidRDefault="00927811" w:rsidP="000C33CA">
            <w:pPr>
              <w:rPr>
                <w:rFonts w:asciiTheme="minorHAnsi" w:hAnsiTheme="minorHAnsi" w:cstheme="minorHAnsi"/>
                <w:b w:val="0"/>
                <w:sz w:val="22"/>
              </w:rPr>
            </w:pPr>
            <w:r w:rsidRPr="00131DD9">
              <w:rPr>
                <w:rFonts w:asciiTheme="minorHAnsi" w:hAnsiTheme="minorHAnsi" w:cstheme="minorHAnsi"/>
                <w:b w:val="0"/>
                <w:sz w:val="22"/>
              </w:rPr>
              <w:t>RECURSOS DE REVISIÓN</w:t>
            </w:r>
          </w:p>
        </w:tc>
        <w:tc>
          <w:tcPr>
            <w:tcW w:w="4252" w:type="dxa"/>
            <w:noWrap/>
          </w:tcPr>
          <w:p w14:paraId="3486E677" w14:textId="2777773C" w:rsidR="00927811" w:rsidRPr="00131DD9" w:rsidRDefault="00927811" w:rsidP="000C33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 xml:space="preserve">111 </w:t>
            </w:r>
          </w:p>
        </w:tc>
      </w:tr>
    </w:tbl>
    <w:p w14:paraId="224EF27F" w14:textId="420FDBE4" w:rsidR="00291EC7" w:rsidRDefault="00291EC7" w:rsidP="00E34BB5"/>
    <w:p w14:paraId="4A1414CE" w14:textId="0E24D3C0" w:rsidR="00E34BB5" w:rsidRPr="004213FE" w:rsidRDefault="00927811" w:rsidP="00E34BB5">
      <w:pPr>
        <w:rPr>
          <w:lang w:val="es-MX" w:eastAsia="es-MX"/>
        </w:rPr>
      </w:pPr>
      <w:r w:rsidRPr="004213FE">
        <w:rPr>
          <w:lang w:val="es-MX" w:eastAsia="es-MX"/>
        </w:rPr>
        <w:t>Cabe señalar</w:t>
      </w:r>
      <w:r w:rsidR="00923724" w:rsidRPr="004213FE">
        <w:rPr>
          <w:lang w:val="es-MX" w:eastAsia="es-MX"/>
        </w:rPr>
        <w:t>,</w:t>
      </w:r>
      <w:r w:rsidR="00E34BB5" w:rsidRPr="004213FE">
        <w:rPr>
          <w:lang w:val="es-MX" w:eastAsia="es-MX"/>
        </w:rPr>
        <w:t xml:space="preserve"> </w:t>
      </w:r>
      <w:r w:rsidRPr="004213FE">
        <w:rPr>
          <w:lang w:val="es-MX" w:eastAsia="es-MX"/>
        </w:rPr>
        <w:t xml:space="preserve">que  el registro de los expediente de los recursos de revisión se realizó en el marco de </w:t>
      </w:r>
      <w:r w:rsidR="00E34BB5" w:rsidRPr="004213FE">
        <w:rPr>
          <w:lang w:val="es-MX" w:eastAsia="es-MX"/>
        </w:rPr>
        <w:t>los trabajos de reorganizaci</w:t>
      </w:r>
      <w:r w:rsidR="00483449" w:rsidRPr="004213FE">
        <w:rPr>
          <w:lang w:val="es-MX" w:eastAsia="es-MX"/>
        </w:rPr>
        <w:t>ón que se desarrollaron para la instrumentación del servicio</w:t>
      </w:r>
      <w:r w:rsidR="00E34BB5" w:rsidRPr="004213FE">
        <w:rPr>
          <w:lang w:val="es-MX" w:eastAsia="es-MX"/>
        </w:rPr>
        <w:t xml:space="preserve"> para “Elaborar un diagnóstico integral para </w:t>
      </w:r>
      <w:r w:rsidR="00923724" w:rsidRPr="004213FE">
        <w:rPr>
          <w:lang w:val="es-MX" w:eastAsia="es-MX"/>
        </w:rPr>
        <w:t xml:space="preserve">la </w:t>
      </w:r>
      <w:r w:rsidR="00E34BB5" w:rsidRPr="004213FE">
        <w:rPr>
          <w:lang w:val="es-MX" w:eastAsia="es-MX"/>
        </w:rPr>
        <w:t>conformación del archivo histórico, y criterios de valoración para la documentación e información de los archivos del INAI, así como la identificación e integración del inventario de transferencia secundaria de los expedientes que obran bajo resguardo del Archivo de Concentración</w:t>
      </w:r>
      <w:r w:rsidR="00483449" w:rsidRPr="004213FE">
        <w:rPr>
          <w:lang w:val="es-MX" w:eastAsia="es-MX"/>
        </w:rPr>
        <w:t>”</w:t>
      </w:r>
      <w:r w:rsidRPr="004213FE">
        <w:rPr>
          <w:lang w:val="es-MX" w:eastAsia="es-MX"/>
        </w:rPr>
        <w:t>.</w:t>
      </w:r>
    </w:p>
    <w:p w14:paraId="52C06F03" w14:textId="7DE09E67" w:rsidR="00E34BB5" w:rsidRDefault="00E34BB5" w:rsidP="00496087">
      <w:pPr>
        <w:rPr>
          <w:b/>
          <w:lang w:val="es-MX" w:eastAsia="es-MX"/>
        </w:rPr>
      </w:pPr>
    </w:p>
    <w:p w14:paraId="470917C2" w14:textId="77777777" w:rsidR="00291EC7" w:rsidRPr="00923724" w:rsidRDefault="00291EC7" w:rsidP="00291EC7">
      <w:pPr>
        <w:rPr>
          <w:lang w:val="es-MX" w:eastAsia="es-MX"/>
        </w:rPr>
      </w:pPr>
      <w:r w:rsidRPr="00923724">
        <w:rPr>
          <w:noProof/>
          <w:lang w:val="es-MX" w:eastAsia="es-MX"/>
        </w:rPr>
        <w:drawing>
          <wp:anchor distT="0" distB="0" distL="114300" distR="114300" simplePos="0" relativeHeight="251741184" behindDoc="0" locked="0" layoutInCell="1" allowOverlap="1" wp14:anchorId="568B2AD5" wp14:editId="33F7038C">
            <wp:simplePos x="0" y="0"/>
            <wp:positionH relativeFrom="margin">
              <wp:align>left</wp:align>
            </wp:positionH>
            <wp:positionV relativeFrom="paragraph">
              <wp:posOffset>12065</wp:posOffset>
            </wp:positionV>
            <wp:extent cx="600075" cy="60007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923724">
        <w:rPr>
          <w:lang w:val="es-MX" w:eastAsia="es-MX"/>
        </w:rPr>
        <w:t>De conformidad con lo establecido en el artículo 12, fracción IV de la Ley Federal de Archivos.</w:t>
      </w:r>
    </w:p>
    <w:p w14:paraId="42E14119" w14:textId="77090348" w:rsidR="00291EC7" w:rsidRPr="00923724" w:rsidRDefault="00291EC7" w:rsidP="00291EC7">
      <w:pPr>
        <w:rPr>
          <w:b/>
          <w:lang w:val="es-MX" w:eastAsia="es-MX"/>
        </w:rPr>
      </w:pPr>
      <w:r w:rsidRPr="00923724">
        <w:rPr>
          <w:b/>
        </w:rPr>
        <w:t>Avance: 100%</w:t>
      </w:r>
    </w:p>
    <w:p w14:paraId="6D31EF1E" w14:textId="77777777" w:rsidR="00291EC7" w:rsidRDefault="00291EC7" w:rsidP="00496087">
      <w:pPr>
        <w:rPr>
          <w:b/>
          <w:lang w:val="es-MX" w:eastAsia="es-MX"/>
        </w:rPr>
      </w:pPr>
    </w:p>
    <w:p w14:paraId="2DF9C650" w14:textId="5A40D2EC" w:rsidR="00162183" w:rsidRDefault="00162183" w:rsidP="00923724">
      <w:pPr>
        <w:rPr>
          <w:rFonts w:ascii="Arial" w:hAnsi="Arial" w:cs="Arial"/>
          <w:lang w:val="es-MX" w:eastAsia="es-MX"/>
        </w:rPr>
      </w:pPr>
    </w:p>
    <w:p w14:paraId="47E0F871" w14:textId="704D5846" w:rsidR="00A177BA" w:rsidRDefault="00A177BA" w:rsidP="000011C0">
      <w:pPr>
        <w:pStyle w:val="Ttulo3"/>
        <w:rPr>
          <w:lang w:val="es-MX" w:eastAsia="es-MX"/>
        </w:rPr>
      </w:pPr>
      <w:bookmarkStart w:id="18" w:name="_Toc25709540"/>
      <w:r w:rsidRPr="00E17B9D">
        <w:rPr>
          <w:lang w:val="es-MX" w:eastAsia="es-MX"/>
        </w:rPr>
        <w:t>1.2G Actualizar la designación de los responsables de los Archivos de Trámite del INAI, del Responsable del Archivo de Concentración y del Responsable del Área Coordinadora de Archivos</w:t>
      </w:r>
      <w:r w:rsidR="00E17B9D">
        <w:rPr>
          <w:lang w:val="es-MX" w:eastAsia="es-MX"/>
        </w:rPr>
        <w:t>.</w:t>
      </w:r>
      <w:bookmarkEnd w:id="18"/>
    </w:p>
    <w:p w14:paraId="4A4F7E54" w14:textId="77777777" w:rsidR="00E17B9D" w:rsidRPr="00E17B9D" w:rsidRDefault="00E17B9D" w:rsidP="00E17B9D">
      <w:pPr>
        <w:rPr>
          <w:b/>
          <w:lang w:val="es-MX" w:eastAsia="es-MX"/>
        </w:rPr>
      </w:pPr>
    </w:p>
    <w:p w14:paraId="1CA7F0B4" w14:textId="27F4639F" w:rsidR="00A177BA" w:rsidRPr="00A177BA" w:rsidRDefault="00A177BA" w:rsidP="00E17B9D">
      <w:pPr>
        <w:rPr>
          <w:rFonts w:ascii="Arial" w:hAnsi="Arial" w:cs="Arial"/>
          <w:color w:val="000000" w:themeColor="text1"/>
        </w:rPr>
      </w:pPr>
      <w:r w:rsidRPr="00E17B9D">
        <w:t>Al termino del año 2019 se cuenta con la designación de setenta y cuatro Responsables de Archivo de Trámite, un Responsable del Archivo de Concentración, y un Responsable del Área Coordinadora de Archivos</w:t>
      </w:r>
      <w:r w:rsidRPr="00A177BA">
        <w:rPr>
          <w:rFonts w:ascii="Arial" w:hAnsi="Arial" w:cs="Arial"/>
          <w:color w:val="000000" w:themeColor="text1"/>
        </w:rPr>
        <w:t>.</w:t>
      </w:r>
    </w:p>
    <w:p w14:paraId="659E952A" w14:textId="77777777" w:rsidR="00A177BA" w:rsidRPr="00A177BA" w:rsidRDefault="00A177BA" w:rsidP="00E17B9D">
      <w:pPr>
        <w:rPr>
          <w:rFonts w:ascii="Arial" w:hAnsi="Arial" w:cs="Arial"/>
          <w:color w:val="000000" w:themeColor="text1"/>
        </w:rPr>
      </w:pPr>
    </w:p>
    <w:p w14:paraId="621F9EE8" w14:textId="462737E1" w:rsidR="00A177BA" w:rsidRPr="00923724" w:rsidRDefault="00A177BA" w:rsidP="000C33CA">
      <w:pPr>
        <w:rPr>
          <w:lang w:val="es-MX" w:eastAsia="es-MX"/>
        </w:rPr>
      </w:pPr>
      <w:r w:rsidRPr="00923724">
        <w:rPr>
          <w:noProof/>
          <w:lang w:val="es-MX" w:eastAsia="es-MX"/>
        </w:rPr>
        <w:drawing>
          <wp:anchor distT="0" distB="0" distL="114300" distR="114300" simplePos="0" relativeHeight="251712512" behindDoc="0" locked="0" layoutInCell="1" allowOverlap="1" wp14:anchorId="51538A8B" wp14:editId="0CF6E9F7">
            <wp:simplePos x="0" y="0"/>
            <wp:positionH relativeFrom="margin">
              <wp:align>left</wp:align>
            </wp:positionH>
            <wp:positionV relativeFrom="paragraph">
              <wp:posOffset>12065</wp:posOffset>
            </wp:positionV>
            <wp:extent cx="600075" cy="600075"/>
            <wp:effectExtent l="0" t="0" r="9525"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923724">
        <w:rPr>
          <w:lang w:val="es-MX" w:eastAsia="es-MX"/>
        </w:rPr>
        <w:t>De conformidad con lo establecido en el artículo 13, fracción IV de la Ley Federal de Archivos.</w:t>
      </w:r>
    </w:p>
    <w:p w14:paraId="72200458" w14:textId="4518D518" w:rsidR="00A177BA" w:rsidRPr="003912B8" w:rsidRDefault="00A177BA" w:rsidP="003912B8">
      <w:pPr>
        <w:rPr>
          <w:b/>
          <w:lang w:val="es-MX" w:eastAsia="es-MX"/>
        </w:rPr>
      </w:pPr>
      <w:r w:rsidRPr="00923724">
        <w:rPr>
          <w:b/>
        </w:rPr>
        <w:t>Avance: 100%</w:t>
      </w:r>
    </w:p>
    <w:p w14:paraId="462C3D3C" w14:textId="77777777" w:rsidR="003912B8" w:rsidRDefault="003912B8" w:rsidP="00E17B9D">
      <w:pPr>
        <w:rPr>
          <w:b/>
        </w:rPr>
      </w:pPr>
    </w:p>
    <w:p w14:paraId="1DC9FC2D" w14:textId="77777777" w:rsidR="003912B8" w:rsidRDefault="003912B8" w:rsidP="00E17B9D">
      <w:pPr>
        <w:rPr>
          <w:b/>
        </w:rPr>
      </w:pPr>
    </w:p>
    <w:p w14:paraId="6F2A53B2" w14:textId="419F77F6" w:rsidR="00A177BA" w:rsidRPr="00E17B9D" w:rsidRDefault="00A177BA" w:rsidP="000011C0">
      <w:pPr>
        <w:pStyle w:val="Ttulo3"/>
      </w:pPr>
      <w:bookmarkStart w:id="19" w:name="_Toc25709541"/>
      <w:r w:rsidRPr="00E17B9D">
        <w:t>1.2H</w:t>
      </w:r>
      <w:r w:rsidR="00E17B9D">
        <w:t xml:space="preserve"> Contratar </w:t>
      </w:r>
      <w:r w:rsidRPr="00E17B9D">
        <w:t>servicios para realizar el cosido de expedientes del Archivo de Concentración</w:t>
      </w:r>
      <w:bookmarkEnd w:id="19"/>
    </w:p>
    <w:p w14:paraId="68CBA479" w14:textId="77777777" w:rsidR="00E17B9D" w:rsidRPr="00E17B9D" w:rsidRDefault="00E17B9D" w:rsidP="00E17B9D"/>
    <w:p w14:paraId="3A1494DF" w14:textId="27D033D0" w:rsidR="006F6C4B" w:rsidRDefault="006F6C4B" w:rsidP="00E17B9D">
      <w:r>
        <w:t>A través de la contratación de un</w:t>
      </w:r>
      <w:r w:rsidR="00FF24CE">
        <w:t xml:space="preserve"> servicio </w:t>
      </w:r>
      <w:r>
        <w:t xml:space="preserve">integral </w:t>
      </w:r>
      <w:r w:rsidR="00FF24CE">
        <w:t xml:space="preserve">de digitalización, </w:t>
      </w:r>
      <w:r w:rsidR="00A177BA" w:rsidRPr="006F6C4B">
        <w:rPr>
          <w:b/>
        </w:rPr>
        <w:t>cosido</w:t>
      </w:r>
      <w:r w:rsidR="00FF24CE">
        <w:t xml:space="preserve"> y carga en el Sistema de Gestión Documental GD-Mx</w:t>
      </w:r>
      <w:r w:rsidR="00A177BA" w:rsidRPr="00E17B9D">
        <w:t xml:space="preserve"> de los expedientes de l</w:t>
      </w:r>
      <w:r w:rsidR="00FF24CE">
        <w:t>os recursos de revisión producidos en</w:t>
      </w:r>
      <w:r w:rsidR="00E17B9D" w:rsidRPr="00E17B9D">
        <w:t xml:space="preserve"> los años 2012 y 2013</w:t>
      </w:r>
      <w:r w:rsidR="0038256B">
        <w:t xml:space="preserve"> bajo resguardo</w:t>
      </w:r>
      <w:r w:rsidR="00A177BA" w:rsidRPr="00E17B9D">
        <w:t xml:space="preserve"> Archivo de Concentración del INAI</w:t>
      </w:r>
      <w:r>
        <w:t>., se concret</w:t>
      </w:r>
      <w:r w:rsidR="005D2BF7">
        <w:t>ó el proceso de cosido de</w:t>
      </w:r>
      <w:r w:rsidR="00D41E79">
        <w:t xml:space="preserve"> </w:t>
      </w:r>
      <w:r w:rsidR="004213FE" w:rsidRPr="004213FE">
        <w:t xml:space="preserve">los </w:t>
      </w:r>
      <w:r>
        <w:t>expedientes del periodo señalado</w:t>
      </w:r>
      <w:r w:rsidR="005D2BF7">
        <w:t>, como medida técnica para mantener la integridad de documentos que conforman dichos expedientes</w:t>
      </w:r>
      <w:r w:rsidR="00E5243F">
        <w:t xml:space="preserve">. </w:t>
      </w:r>
    </w:p>
    <w:p w14:paraId="2EA5A336" w14:textId="77777777" w:rsidR="006F6C4B" w:rsidRDefault="006F6C4B" w:rsidP="00E17B9D"/>
    <w:p w14:paraId="00BD7212" w14:textId="7DF1F1CB" w:rsidR="00A177BA" w:rsidRPr="003912B8" w:rsidRDefault="00A177BA" w:rsidP="00683C6D">
      <w:pPr>
        <w:rPr>
          <w:lang w:val="es-MX" w:eastAsia="es-MX"/>
        </w:rPr>
      </w:pPr>
      <w:r w:rsidRPr="003912B8">
        <w:rPr>
          <w:noProof/>
          <w:lang w:val="es-MX" w:eastAsia="es-MX"/>
        </w:rPr>
        <w:drawing>
          <wp:anchor distT="0" distB="0" distL="114300" distR="114300" simplePos="0" relativeHeight="251714560" behindDoc="0" locked="0" layoutInCell="1" allowOverlap="1" wp14:anchorId="3855FF44" wp14:editId="562EA30D">
            <wp:simplePos x="0" y="0"/>
            <wp:positionH relativeFrom="margin">
              <wp:align>left</wp:align>
            </wp:positionH>
            <wp:positionV relativeFrom="paragraph">
              <wp:posOffset>12065</wp:posOffset>
            </wp:positionV>
            <wp:extent cx="600075" cy="600075"/>
            <wp:effectExtent l="0" t="0" r="9525" b="952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0C296C" w:rsidRPr="003912B8">
        <w:rPr>
          <w:lang w:val="es-MX" w:eastAsia="es-MX"/>
        </w:rPr>
        <w:t>Fundamento legal: A</w:t>
      </w:r>
      <w:r w:rsidRPr="003912B8">
        <w:rPr>
          <w:lang w:val="es-MX" w:eastAsia="es-MX"/>
        </w:rPr>
        <w:t>rtículo 13</w:t>
      </w:r>
      <w:r w:rsidR="000C296C" w:rsidRPr="003912B8">
        <w:rPr>
          <w:lang w:val="es-MX" w:eastAsia="es-MX"/>
        </w:rPr>
        <w:t xml:space="preserve">, fracción IV de la Ley Federal </w:t>
      </w:r>
      <w:r w:rsidRPr="003912B8">
        <w:rPr>
          <w:lang w:val="es-MX" w:eastAsia="es-MX"/>
        </w:rPr>
        <w:t>de Archivos.</w:t>
      </w:r>
    </w:p>
    <w:p w14:paraId="7ECDCD9D" w14:textId="65A62BC0" w:rsidR="00A177BA" w:rsidRPr="000C296C" w:rsidRDefault="000C296C" w:rsidP="00683C6D">
      <w:pPr>
        <w:rPr>
          <w:b/>
          <w:lang w:val="es-MX" w:eastAsia="es-MX"/>
        </w:rPr>
      </w:pPr>
      <w:r w:rsidRPr="003912B8">
        <w:rPr>
          <w:b/>
        </w:rPr>
        <w:t>Avance: 100</w:t>
      </w:r>
      <w:r w:rsidR="00A177BA" w:rsidRPr="003912B8">
        <w:rPr>
          <w:b/>
        </w:rPr>
        <w:t>%</w:t>
      </w:r>
    </w:p>
    <w:p w14:paraId="649C3BC0" w14:textId="3536C28E" w:rsidR="00A177BA" w:rsidRPr="000C296C" w:rsidRDefault="00A177BA" w:rsidP="00CA7687">
      <w:pPr>
        <w:spacing w:line="360" w:lineRule="auto"/>
        <w:rPr>
          <w:rFonts w:ascii="Arial" w:hAnsi="Arial" w:cs="Arial"/>
          <w:b/>
        </w:rPr>
      </w:pPr>
    </w:p>
    <w:p w14:paraId="10D27E81" w14:textId="7096F29C" w:rsidR="00A177BA" w:rsidRDefault="00A177BA" w:rsidP="00CA7687">
      <w:pPr>
        <w:spacing w:line="360" w:lineRule="auto"/>
        <w:rPr>
          <w:rFonts w:ascii="Arial" w:hAnsi="Arial" w:cs="Arial"/>
          <w:b/>
          <w:highlight w:val="yellow"/>
        </w:rPr>
      </w:pPr>
    </w:p>
    <w:p w14:paraId="69E64FE4" w14:textId="7A9EA129" w:rsidR="00923724" w:rsidRDefault="00923724" w:rsidP="00CA7687">
      <w:pPr>
        <w:spacing w:line="360" w:lineRule="auto"/>
        <w:rPr>
          <w:rFonts w:ascii="Arial" w:hAnsi="Arial" w:cs="Arial"/>
          <w:b/>
          <w:highlight w:val="yellow"/>
        </w:rPr>
      </w:pPr>
    </w:p>
    <w:p w14:paraId="1A970495" w14:textId="44CF717A" w:rsidR="000E1794" w:rsidRPr="00C7309C" w:rsidRDefault="007D6D9C" w:rsidP="000011C0">
      <w:pPr>
        <w:pStyle w:val="Ttulo3"/>
        <w:rPr>
          <w:lang w:val="es-MX" w:eastAsia="es-MX"/>
        </w:rPr>
      </w:pPr>
      <w:bookmarkStart w:id="20" w:name="_Toc25709542"/>
      <w:r w:rsidRPr="00C7309C">
        <w:lastRenderedPageBreak/>
        <w:t>1.2I</w:t>
      </w:r>
      <w:r w:rsidR="000C296C" w:rsidRPr="00C7309C">
        <w:t xml:space="preserve"> </w:t>
      </w:r>
      <w:r w:rsidR="00A177BA" w:rsidRPr="00C7309C">
        <w:rPr>
          <w:lang w:val="es-MX" w:eastAsia="es-MX"/>
        </w:rPr>
        <w:t>Instrument</w:t>
      </w:r>
      <w:r w:rsidR="00355ABB" w:rsidRPr="00C7309C">
        <w:rPr>
          <w:lang w:val="es-MX" w:eastAsia="es-MX"/>
        </w:rPr>
        <w:t>ar el calendario de transferencias primar</w:t>
      </w:r>
      <w:r w:rsidR="00C7309C">
        <w:rPr>
          <w:lang w:val="es-MX" w:eastAsia="es-MX"/>
        </w:rPr>
        <w:t>ias al Archivo de C</w:t>
      </w:r>
      <w:r w:rsidR="00C31462" w:rsidRPr="00C7309C">
        <w:rPr>
          <w:lang w:val="es-MX" w:eastAsia="es-MX"/>
        </w:rPr>
        <w:t>oncentración</w:t>
      </w:r>
      <w:r w:rsidR="000C296C" w:rsidRPr="00C7309C">
        <w:rPr>
          <w:lang w:val="es-MX" w:eastAsia="es-MX"/>
        </w:rPr>
        <w:t>.</w:t>
      </w:r>
      <w:bookmarkEnd w:id="20"/>
    </w:p>
    <w:p w14:paraId="6C018FBB" w14:textId="4AD69CE1" w:rsidR="000C296C" w:rsidRDefault="000C296C" w:rsidP="000C296C">
      <w:pPr>
        <w:rPr>
          <w:highlight w:val="yellow"/>
          <w:lang w:val="es-MX" w:eastAsia="es-MX"/>
        </w:rPr>
      </w:pPr>
    </w:p>
    <w:p w14:paraId="264D527C" w14:textId="2B6B99DB" w:rsidR="000C296C" w:rsidRPr="00C7309C" w:rsidRDefault="00C7309C" w:rsidP="000C296C">
      <w:pPr>
        <w:rPr>
          <w:lang w:val="es-MX" w:eastAsia="es-MX"/>
        </w:rPr>
      </w:pPr>
      <w:r w:rsidRPr="00C7309C">
        <w:rPr>
          <w:lang w:val="es-MX" w:eastAsia="es-MX"/>
        </w:rPr>
        <w:t>En</w:t>
      </w:r>
      <w:r w:rsidR="000C296C" w:rsidRPr="00C7309C">
        <w:rPr>
          <w:lang w:val="es-MX" w:eastAsia="es-MX"/>
        </w:rPr>
        <w:t xml:space="preserve"> cumplimiento al calendario de Transferenci</w:t>
      </w:r>
      <w:r w:rsidRPr="00C7309C">
        <w:rPr>
          <w:lang w:val="es-MX" w:eastAsia="es-MX"/>
        </w:rPr>
        <w:t>a</w:t>
      </w:r>
      <w:r w:rsidR="000C296C" w:rsidRPr="00C7309C">
        <w:rPr>
          <w:lang w:val="es-MX" w:eastAsia="es-MX"/>
        </w:rPr>
        <w:t xml:space="preserve">s </w:t>
      </w:r>
      <w:r w:rsidRPr="00C7309C">
        <w:rPr>
          <w:lang w:val="es-MX" w:eastAsia="es-MX"/>
        </w:rPr>
        <w:t xml:space="preserve">primarias </w:t>
      </w:r>
      <w:r w:rsidR="000C296C" w:rsidRPr="00C7309C">
        <w:rPr>
          <w:lang w:val="es-MX" w:eastAsia="es-MX"/>
        </w:rPr>
        <w:t>2019,</w:t>
      </w:r>
      <w:r>
        <w:rPr>
          <w:lang w:val="es-MX" w:eastAsia="es-MX"/>
        </w:rPr>
        <w:t xml:space="preserve"> </w:t>
      </w:r>
      <w:r w:rsidR="002F40BB">
        <w:rPr>
          <w:lang w:val="es-MX" w:eastAsia="es-MX"/>
        </w:rPr>
        <w:t>aprobado por el Comité de Valoración Do</w:t>
      </w:r>
      <w:r w:rsidR="00806A05">
        <w:rPr>
          <w:lang w:val="es-MX" w:eastAsia="es-MX"/>
        </w:rPr>
        <w:t>cumental</w:t>
      </w:r>
      <w:r w:rsidR="002F40BB">
        <w:rPr>
          <w:lang w:val="es-MX" w:eastAsia="es-MX"/>
        </w:rPr>
        <w:t xml:space="preserve"> para e</w:t>
      </w:r>
      <w:r w:rsidRPr="00C7309C">
        <w:rPr>
          <w:lang w:val="es-MX" w:eastAsia="es-MX"/>
        </w:rPr>
        <w:t>l traslado controlado de los expedientes de que cumplie</w:t>
      </w:r>
      <w:r>
        <w:rPr>
          <w:lang w:val="es-MX" w:eastAsia="es-MX"/>
        </w:rPr>
        <w:t>ron plazos</w:t>
      </w:r>
      <w:r w:rsidRPr="00C7309C">
        <w:rPr>
          <w:lang w:val="es-MX" w:eastAsia="es-MX"/>
        </w:rPr>
        <w:t xml:space="preserve"> en los Archivos de tr</w:t>
      </w:r>
      <w:r>
        <w:rPr>
          <w:lang w:val="es-MX" w:eastAsia="es-MX"/>
        </w:rPr>
        <w:t xml:space="preserve">ámite, </w:t>
      </w:r>
      <w:r w:rsidRPr="00C7309C">
        <w:rPr>
          <w:lang w:val="es-MX" w:eastAsia="es-MX"/>
        </w:rPr>
        <w:t>la</w:t>
      </w:r>
      <w:r>
        <w:rPr>
          <w:lang w:val="es-MX" w:eastAsia="es-MX"/>
        </w:rPr>
        <w:t>s</w:t>
      </w:r>
      <w:r w:rsidRPr="00C7309C">
        <w:rPr>
          <w:lang w:val="es-MX" w:eastAsia="es-MX"/>
        </w:rPr>
        <w:t xml:space="preserve"> unidades administrativas del INA</w:t>
      </w:r>
      <w:r w:rsidR="00B97CD4">
        <w:rPr>
          <w:lang w:val="es-MX" w:eastAsia="es-MX"/>
        </w:rPr>
        <w:t>I</w:t>
      </w:r>
      <w:r>
        <w:rPr>
          <w:lang w:val="es-MX" w:eastAsia="es-MX"/>
        </w:rPr>
        <w:t xml:space="preserve"> realizaron </w:t>
      </w:r>
      <w:r w:rsidR="00B97CD4">
        <w:rPr>
          <w:lang w:val="es-MX" w:eastAsia="es-MX"/>
        </w:rPr>
        <w:t>diversas</w:t>
      </w:r>
      <w:r>
        <w:rPr>
          <w:lang w:val="es-MX" w:eastAsia="es-MX"/>
        </w:rPr>
        <w:t xml:space="preserve"> transferencia</w:t>
      </w:r>
      <w:r w:rsidR="00934C50">
        <w:rPr>
          <w:lang w:val="es-MX" w:eastAsia="es-MX"/>
        </w:rPr>
        <w:t>s</w:t>
      </w:r>
      <w:r>
        <w:rPr>
          <w:lang w:val="es-MX" w:eastAsia="es-MX"/>
        </w:rPr>
        <w:t xml:space="preserve"> primaria</w:t>
      </w:r>
      <w:r w:rsidR="00B97CD4">
        <w:rPr>
          <w:lang w:val="es-MX" w:eastAsia="es-MX"/>
        </w:rPr>
        <w:t>s</w:t>
      </w:r>
      <w:r>
        <w:rPr>
          <w:lang w:val="es-MX" w:eastAsia="es-MX"/>
        </w:rPr>
        <w:t xml:space="preserve"> que fueron ingresadas al Archivo de Concentración conforme al siguiente detalle:</w:t>
      </w:r>
    </w:p>
    <w:p w14:paraId="0EE10243" w14:textId="78AE2F67" w:rsidR="003C6A42" w:rsidRDefault="003C6A42" w:rsidP="000C296C"/>
    <w:tbl>
      <w:tblPr>
        <w:tblStyle w:val="Tabladecuadrcula4-nfasis4"/>
        <w:tblW w:w="9356" w:type="dxa"/>
        <w:tblLook w:val="04A0" w:firstRow="1" w:lastRow="0" w:firstColumn="1" w:lastColumn="0" w:noHBand="0" w:noVBand="1"/>
      </w:tblPr>
      <w:tblGrid>
        <w:gridCol w:w="6241"/>
        <w:gridCol w:w="1669"/>
        <w:gridCol w:w="1446"/>
      </w:tblGrid>
      <w:tr w:rsidR="00D37D2A" w:rsidRPr="00731B11" w14:paraId="2E452BEE" w14:textId="4D113706" w:rsidTr="00131D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3C9D0695" w14:textId="26F921F9" w:rsidR="00D37D2A" w:rsidRPr="00731B11" w:rsidRDefault="00D37D2A" w:rsidP="00D37D2A">
            <w:pPr>
              <w:jc w:val="center"/>
              <w:rPr>
                <w:rFonts w:ascii="Calibri" w:eastAsia="Times New Roman" w:hAnsi="Calibri" w:cs="Calibri"/>
                <w:lang w:val="es-MX" w:eastAsia="es-MX"/>
              </w:rPr>
            </w:pPr>
            <w:r w:rsidRPr="00131DD9">
              <w:rPr>
                <w:rFonts w:ascii="Calibri" w:eastAsia="Times New Roman" w:hAnsi="Calibri" w:cs="Calibri"/>
                <w:bCs w:val="0"/>
                <w:lang w:val="es-MX" w:eastAsia="es-MX"/>
              </w:rPr>
              <w:t>Unidad Administrativa</w:t>
            </w:r>
          </w:p>
        </w:tc>
        <w:tc>
          <w:tcPr>
            <w:tcW w:w="1521" w:type="dxa"/>
            <w:noWrap/>
            <w:hideMark/>
          </w:tcPr>
          <w:p w14:paraId="6F125B4B" w14:textId="44FACE50" w:rsidR="00D37D2A" w:rsidRPr="00731B11" w:rsidRDefault="00D37D2A" w:rsidP="00D37D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MX" w:eastAsia="es-MX"/>
              </w:rPr>
            </w:pPr>
            <w:r w:rsidRPr="00131DD9">
              <w:rPr>
                <w:rFonts w:ascii="Calibri" w:eastAsia="Times New Roman" w:hAnsi="Calibri" w:cs="Calibri"/>
                <w:bCs w:val="0"/>
                <w:lang w:val="es-MX" w:eastAsia="es-MX"/>
              </w:rPr>
              <w:t>No. Transferencias realizadas</w:t>
            </w:r>
          </w:p>
        </w:tc>
        <w:tc>
          <w:tcPr>
            <w:tcW w:w="1594" w:type="dxa"/>
          </w:tcPr>
          <w:p w14:paraId="2878C55C" w14:textId="7F76D512" w:rsidR="00D37D2A" w:rsidRPr="00131DD9" w:rsidRDefault="00D37D2A" w:rsidP="00D37D2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lang w:val="es-MX" w:eastAsia="es-MX"/>
              </w:rPr>
            </w:pPr>
            <w:r w:rsidRPr="00131DD9">
              <w:rPr>
                <w:rFonts w:ascii="Calibri" w:hAnsi="Calibri" w:cs="Calibri"/>
                <w:bCs w:val="0"/>
              </w:rPr>
              <w:t>No. Expedientes transferidos</w:t>
            </w:r>
          </w:p>
        </w:tc>
      </w:tr>
      <w:tr w:rsidR="00131DD9" w:rsidRPr="00731B11" w14:paraId="1EF103BD" w14:textId="3C382EA4" w:rsidTr="00131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41" w:type="dxa"/>
            <w:noWrap/>
          </w:tcPr>
          <w:p w14:paraId="2EB321A7" w14:textId="23A59035"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Oficina de la Comisionada Ximena Puente de la Mora</w:t>
            </w:r>
          </w:p>
        </w:tc>
        <w:tc>
          <w:tcPr>
            <w:tcW w:w="1521" w:type="dxa"/>
            <w:noWrap/>
          </w:tcPr>
          <w:p w14:paraId="291ED57E" w14:textId="219A01EB"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1</w:t>
            </w:r>
          </w:p>
        </w:tc>
        <w:tc>
          <w:tcPr>
            <w:tcW w:w="1594" w:type="dxa"/>
          </w:tcPr>
          <w:p w14:paraId="526229B6" w14:textId="2C4864D8"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1</w:t>
            </w:r>
          </w:p>
        </w:tc>
      </w:tr>
      <w:tr w:rsidR="00131DD9" w:rsidRPr="00731B11" w14:paraId="56A93E4E" w14:textId="77777777" w:rsidTr="00131DD9">
        <w:trPr>
          <w:trHeight w:val="300"/>
        </w:trPr>
        <w:tc>
          <w:tcPr>
            <w:cnfStyle w:val="001000000000" w:firstRow="0" w:lastRow="0" w:firstColumn="1" w:lastColumn="0" w:oddVBand="0" w:evenVBand="0" w:oddHBand="0" w:evenHBand="0" w:firstRowFirstColumn="0" w:firstRowLastColumn="0" w:lastRowFirstColumn="0" w:lastRowLastColumn="0"/>
            <w:tcW w:w="6241" w:type="dxa"/>
            <w:noWrap/>
          </w:tcPr>
          <w:p w14:paraId="564B9418" w14:textId="1DE4B111"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Comisionado Carlos Alberto Bonnin Erales</w:t>
            </w:r>
          </w:p>
        </w:tc>
        <w:tc>
          <w:tcPr>
            <w:tcW w:w="1521" w:type="dxa"/>
            <w:noWrap/>
          </w:tcPr>
          <w:p w14:paraId="2C7D33B6" w14:textId="6969A467"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10</w:t>
            </w:r>
          </w:p>
        </w:tc>
        <w:tc>
          <w:tcPr>
            <w:tcW w:w="1594" w:type="dxa"/>
          </w:tcPr>
          <w:p w14:paraId="5A35A289" w14:textId="14D4EB59" w:rsidR="00131DD9"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rPr>
            </w:pPr>
            <w:r>
              <w:rPr>
                <w:rFonts w:ascii="Calibri" w:hAnsi="Calibri" w:cs="Calibri"/>
                <w:color w:val="000000"/>
                <w:sz w:val="22"/>
              </w:rPr>
              <w:t>813</w:t>
            </w:r>
          </w:p>
        </w:tc>
      </w:tr>
      <w:tr w:rsidR="00131DD9" w:rsidRPr="00731B11" w14:paraId="79AC6F58" w14:textId="1AE706AF" w:rsidTr="00131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1F292FA5" w14:textId="77777777"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Comisionado Joel Salas Suárez</w:t>
            </w:r>
          </w:p>
        </w:tc>
        <w:tc>
          <w:tcPr>
            <w:tcW w:w="1521" w:type="dxa"/>
            <w:noWrap/>
            <w:hideMark/>
          </w:tcPr>
          <w:p w14:paraId="0A159972" w14:textId="77777777"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10</w:t>
            </w:r>
          </w:p>
        </w:tc>
        <w:tc>
          <w:tcPr>
            <w:tcW w:w="1594" w:type="dxa"/>
          </w:tcPr>
          <w:p w14:paraId="2BF819B4" w14:textId="42B586B6"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1670</w:t>
            </w:r>
          </w:p>
        </w:tc>
      </w:tr>
      <w:tr w:rsidR="00131DD9" w:rsidRPr="00731B11" w14:paraId="7A78E284" w14:textId="33814735" w:rsidTr="00131DD9">
        <w:trPr>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54FE20DB" w14:textId="5FEF56CC"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Comisionado Joel Salas Suárez</w:t>
            </w:r>
          </w:p>
        </w:tc>
        <w:tc>
          <w:tcPr>
            <w:tcW w:w="1521" w:type="dxa"/>
            <w:noWrap/>
            <w:hideMark/>
          </w:tcPr>
          <w:p w14:paraId="343F464E" w14:textId="40046FDC"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5</w:t>
            </w:r>
          </w:p>
        </w:tc>
        <w:tc>
          <w:tcPr>
            <w:tcW w:w="1594" w:type="dxa"/>
          </w:tcPr>
          <w:p w14:paraId="01957AAC" w14:textId="242608C9"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48</w:t>
            </w:r>
          </w:p>
        </w:tc>
      </w:tr>
      <w:tr w:rsidR="00131DD9" w:rsidRPr="00731B11" w14:paraId="2C6091C0" w14:textId="5E8FD7B9" w:rsidTr="00131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0A96ED66" w14:textId="77777777"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Dirección General de Investigación y Verificación del Sector Privado</w:t>
            </w:r>
          </w:p>
        </w:tc>
        <w:tc>
          <w:tcPr>
            <w:tcW w:w="1521" w:type="dxa"/>
            <w:noWrap/>
            <w:hideMark/>
          </w:tcPr>
          <w:p w14:paraId="5B1E16E1" w14:textId="77777777"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3</w:t>
            </w:r>
          </w:p>
        </w:tc>
        <w:tc>
          <w:tcPr>
            <w:tcW w:w="1594" w:type="dxa"/>
          </w:tcPr>
          <w:p w14:paraId="4F53B9BC" w14:textId="68E336FA"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1231</w:t>
            </w:r>
          </w:p>
        </w:tc>
      </w:tr>
      <w:tr w:rsidR="00131DD9" w:rsidRPr="00731B11" w14:paraId="4ADCBF5F" w14:textId="5A094B52" w:rsidTr="00131DD9">
        <w:trPr>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0FC44EB1" w14:textId="77777777"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Dirección General de Normatividad y Consulta</w:t>
            </w:r>
          </w:p>
        </w:tc>
        <w:tc>
          <w:tcPr>
            <w:tcW w:w="1521" w:type="dxa"/>
            <w:noWrap/>
            <w:hideMark/>
          </w:tcPr>
          <w:p w14:paraId="790B8AE7" w14:textId="77777777"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17</w:t>
            </w:r>
          </w:p>
        </w:tc>
        <w:tc>
          <w:tcPr>
            <w:tcW w:w="1594" w:type="dxa"/>
          </w:tcPr>
          <w:p w14:paraId="319B6374" w14:textId="6FC0FB3F"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657</w:t>
            </w:r>
          </w:p>
        </w:tc>
      </w:tr>
      <w:tr w:rsidR="00131DD9" w:rsidRPr="00731B11" w14:paraId="5D6D7C11" w14:textId="31432ABD" w:rsidTr="00131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11A6784E" w14:textId="1C8FBA26"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Dirección General de P</w:t>
            </w:r>
            <w:r>
              <w:rPr>
                <w:rFonts w:ascii="Calibri" w:eastAsia="Times New Roman" w:hAnsi="Calibri" w:cs="Calibri"/>
                <w:color w:val="000000"/>
                <w:sz w:val="22"/>
                <w:lang w:val="es-MX" w:eastAsia="es-MX"/>
              </w:rPr>
              <w:t>r</w:t>
            </w:r>
            <w:r w:rsidRPr="00731B11">
              <w:rPr>
                <w:rFonts w:ascii="Calibri" w:eastAsia="Times New Roman" w:hAnsi="Calibri" w:cs="Calibri"/>
                <w:color w:val="000000"/>
                <w:sz w:val="22"/>
                <w:lang w:val="es-MX" w:eastAsia="es-MX"/>
              </w:rPr>
              <w:t>omoción y Vinculación con la Sociedad</w:t>
            </w:r>
          </w:p>
        </w:tc>
        <w:tc>
          <w:tcPr>
            <w:tcW w:w="1521" w:type="dxa"/>
            <w:noWrap/>
            <w:hideMark/>
          </w:tcPr>
          <w:p w14:paraId="3A62052E" w14:textId="77777777"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3</w:t>
            </w:r>
          </w:p>
        </w:tc>
        <w:tc>
          <w:tcPr>
            <w:tcW w:w="1594" w:type="dxa"/>
          </w:tcPr>
          <w:p w14:paraId="78CB6714" w14:textId="59738557"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1188</w:t>
            </w:r>
          </w:p>
        </w:tc>
      </w:tr>
      <w:tr w:rsidR="00131DD9" w:rsidRPr="00731B11" w14:paraId="552CBCA2" w14:textId="2E3E62FA" w:rsidTr="00131DD9">
        <w:trPr>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4C3D8785" w14:textId="52A42720"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Dirección General de Prevención y Auto</w:t>
            </w:r>
            <w:r w:rsidR="00A5175F">
              <w:rPr>
                <w:rFonts w:ascii="Calibri" w:eastAsia="Times New Roman" w:hAnsi="Calibri" w:cs="Calibri"/>
                <w:color w:val="000000"/>
                <w:sz w:val="22"/>
                <w:lang w:val="es-MX" w:eastAsia="es-MX"/>
              </w:rPr>
              <w:t>r</w:t>
            </w:r>
            <w:r w:rsidRPr="00731B11">
              <w:rPr>
                <w:rFonts w:ascii="Calibri" w:eastAsia="Times New Roman" w:hAnsi="Calibri" w:cs="Calibri"/>
                <w:color w:val="000000"/>
                <w:sz w:val="22"/>
                <w:lang w:val="es-MX" w:eastAsia="es-MX"/>
              </w:rPr>
              <w:t>regulación</w:t>
            </w:r>
          </w:p>
        </w:tc>
        <w:tc>
          <w:tcPr>
            <w:tcW w:w="1521" w:type="dxa"/>
            <w:noWrap/>
            <w:hideMark/>
          </w:tcPr>
          <w:p w14:paraId="6F84D002" w14:textId="77777777"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3</w:t>
            </w:r>
          </w:p>
        </w:tc>
        <w:tc>
          <w:tcPr>
            <w:tcW w:w="1594" w:type="dxa"/>
          </w:tcPr>
          <w:p w14:paraId="2A67DC46" w14:textId="3FCF3259"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23</w:t>
            </w:r>
          </w:p>
        </w:tc>
      </w:tr>
      <w:tr w:rsidR="00131DD9" w:rsidRPr="00731B11" w14:paraId="3F5674DB" w14:textId="6D7A3FE5" w:rsidTr="00131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304D7FE0" w14:textId="77777777"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 xml:space="preserve">Dirección General de Tecnologías de la Información </w:t>
            </w:r>
          </w:p>
        </w:tc>
        <w:tc>
          <w:tcPr>
            <w:tcW w:w="1521" w:type="dxa"/>
            <w:noWrap/>
            <w:hideMark/>
          </w:tcPr>
          <w:p w14:paraId="282F72DE" w14:textId="77777777"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9</w:t>
            </w:r>
          </w:p>
        </w:tc>
        <w:tc>
          <w:tcPr>
            <w:tcW w:w="1594" w:type="dxa"/>
          </w:tcPr>
          <w:p w14:paraId="05F22590" w14:textId="0ACB4EB6"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59</w:t>
            </w:r>
          </w:p>
        </w:tc>
      </w:tr>
      <w:tr w:rsidR="00131DD9" w:rsidRPr="00731B11" w14:paraId="286C78FE" w14:textId="3597B20C" w:rsidTr="00131DD9">
        <w:trPr>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72CDD6F6" w14:textId="77777777"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Órgano Interno de Control</w:t>
            </w:r>
          </w:p>
        </w:tc>
        <w:tc>
          <w:tcPr>
            <w:tcW w:w="1521" w:type="dxa"/>
            <w:noWrap/>
            <w:hideMark/>
          </w:tcPr>
          <w:p w14:paraId="5DBCA0AA" w14:textId="77777777"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13</w:t>
            </w:r>
          </w:p>
        </w:tc>
        <w:tc>
          <w:tcPr>
            <w:tcW w:w="1594" w:type="dxa"/>
          </w:tcPr>
          <w:p w14:paraId="17963AB2" w14:textId="34974F72"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153</w:t>
            </w:r>
          </w:p>
        </w:tc>
      </w:tr>
      <w:tr w:rsidR="00131DD9" w:rsidRPr="00731B11" w14:paraId="54A9AD4F" w14:textId="063FBA8E" w:rsidTr="00131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383DD02D" w14:textId="05EEAB9F" w:rsidR="00131DD9" w:rsidRPr="00731B11" w:rsidRDefault="00131DD9" w:rsidP="00131DD9">
            <w:pPr>
              <w:jc w:val="left"/>
              <w:rPr>
                <w:rFonts w:ascii="Calibri" w:eastAsia="Times New Roman" w:hAnsi="Calibri" w:cs="Calibri"/>
                <w:color w:val="000000"/>
                <w:sz w:val="22"/>
                <w:lang w:val="es-MX" w:eastAsia="es-MX"/>
              </w:rPr>
            </w:pPr>
            <w:r>
              <w:rPr>
                <w:rFonts w:ascii="Calibri" w:eastAsia="Times New Roman" w:hAnsi="Calibri" w:cs="Calibri"/>
                <w:color w:val="000000"/>
                <w:sz w:val="22"/>
                <w:lang w:val="es-MX" w:eastAsia="es-MX"/>
              </w:rPr>
              <w:t>Secretaría Técnica del P</w:t>
            </w:r>
            <w:r w:rsidRPr="00731B11">
              <w:rPr>
                <w:rFonts w:ascii="Calibri" w:eastAsia="Times New Roman" w:hAnsi="Calibri" w:cs="Calibri"/>
                <w:color w:val="000000"/>
                <w:sz w:val="22"/>
                <w:lang w:val="es-MX" w:eastAsia="es-MX"/>
              </w:rPr>
              <w:t>leno</w:t>
            </w:r>
          </w:p>
        </w:tc>
        <w:tc>
          <w:tcPr>
            <w:tcW w:w="1521" w:type="dxa"/>
            <w:noWrap/>
            <w:hideMark/>
          </w:tcPr>
          <w:p w14:paraId="366826EA" w14:textId="77777777"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1</w:t>
            </w:r>
          </w:p>
        </w:tc>
        <w:tc>
          <w:tcPr>
            <w:tcW w:w="1594" w:type="dxa"/>
          </w:tcPr>
          <w:p w14:paraId="55E49A2C" w14:textId="2BCF8C27"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2</w:t>
            </w:r>
          </w:p>
        </w:tc>
      </w:tr>
      <w:tr w:rsidR="00131DD9" w:rsidRPr="00731B11" w14:paraId="34FD93A4" w14:textId="2854E951" w:rsidTr="00131DD9">
        <w:trPr>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3897A832" w14:textId="77777777" w:rsidR="00131DD9" w:rsidRPr="00731B11" w:rsidRDefault="00131DD9" w:rsidP="00131DD9">
            <w:pPr>
              <w:jc w:val="left"/>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Dirección General de Protección de Derechos y Sanción</w:t>
            </w:r>
          </w:p>
        </w:tc>
        <w:tc>
          <w:tcPr>
            <w:tcW w:w="1521" w:type="dxa"/>
            <w:noWrap/>
            <w:hideMark/>
          </w:tcPr>
          <w:p w14:paraId="2D1C628D" w14:textId="77777777"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sidRPr="00731B11">
              <w:rPr>
                <w:rFonts w:ascii="Calibri" w:eastAsia="Times New Roman" w:hAnsi="Calibri" w:cs="Calibri"/>
                <w:color w:val="000000"/>
                <w:sz w:val="22"/>
                <w:lang w:val="es-MX" w:eastAsia="es-MX"/>
              </w:rPr>
              <w:t>1</w:t>
            </w:r>
          </w:p>
        </w:tc>
        <w:tc>
          <w:tcPr>
            <w:tcW w:w="1594" w:type="dxa"/>
          </w:tcPr>
          <w:p w14:paraId="5C8793BA" w14:textId="62A0C30D" w:rsidR="00131DD9" w:rsidRPr="00731B11" w:rsidRDefault="00131DD9" w:rsidP="00131D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val="es-MX" w:eastAsia="es-MX"/>
              </w:rPr>
            </w:pPr>
            <w:r>
              <w:rPr>
                <w:rFonts w:ascii="Calibri" w:hAnsi="Calibri" w:cs="Calibri"/>
                <w:color w:val="000000"/>
                <w:sz w:val="22"/>
              </w:rPr>
              <w:t>50</w:t>
            </w:r>
          </w:p>
        </w:tc>
      </w:tr>
      <w:tr w:rsidR="00131DD9" w:rsidRPr="00731B11" w14:paraId="591BB135" w14:textId="583B3577" w:rsidTr="00131D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41" w:type="dxa"/>
            <w:noWrap/>
            <w:hideMark/>
          </w:tcPr>
          <w:p w14:paraId="7F15BAF0" w14:textId="16F34F7F" w:rsidR="00131DD9" w:rsidRPr="00731B11" w:rsidRDefault="00131DD9" w:rsidP="00131DD9">
            <w:pPr>
              <w:jc w:val="right"/>
              <w:rPr>
                <w:rFonts w:ascii="Calibri" w:eastAsia="Times New Roman" w:hAnsi="Calibri" w:cs="Calibri"/>
                <w:color w:val="000000"/>
                <w:sz w:val="22"/>
                <w:lang w:val="es-MX" w:eastAsia="es-MX"/>
              </w:rPr>
            </w:pPr>
            <w:r>
              <w:rPr>
                <w:rFonts w:ascii="Calibri" w:eastAsia="Times New Roman" w:hAnsi="Calibri" w:cs="Calibri"/>
                <w:b w:val="0"/>
                <w:bCs w:val="0"/>
                <w:color w:val="000000"/>
                <w:sz w:val="22"/>
                <w:lang w:val="es-MX" w:eastAsia="es-MX"/>
              </w:rPr>
              <w:t xml:space="preserve">Total </w:t>
            </w:r>
          </w:p>
        </w:tc>
        <w:tc>
          <w:tcPr>
            <w:tcW w:w="1521" w:type="dxa"/>
            <w:noWrap/>
            <w:hideMark/>
          </w:tcPr>
          <w:p w14:paraId="7FB18A83" w14:textId="27EED3B3"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s-MX" w:eastAsia="es-MX"/>
              </w:rPr>
            </w:pPr>
            <w:r w:rsidRPr="00731B11">
              <w:rPr>
                <w:rFonts w:ascii="Calibri" w:eastAsia="Times New Roman" w:hAnsi="Calibri" w:cs="Calibri"/>
                <w:b/>
                <w:bCs/>
                <w:color w:val="000000"/>
                <w:sz w:val="22"/>
                <w:lang w:val="es-MX" w:eastAsia="es-MX"/>
              </w:rPr>
              <w:t>10</w:t>
            </w:r>
            <w:r>
              <w:rPr>
                <w:rFonts w:ascii="Calibri" w:eastAsia="Times New Roman" w:hAnsi="Calibri" w:cs="Calibri"/>
                <w:b/>
                <w:bCs/>
                <w:color w:val="000000"/>
                <w:sz w:val="22"/>
                <w:lang w:val="es-MX" w:eastAsia="es-MX"/>
              </w:rPr>
              <w:t>0</w:t>
            </w:r>
          </w:p>
        </w:tc>
        <w:tc>
          <w:tcPr>
            <w:tcW w:w="1594" w:type="dxa"/>
          </w:tcPr>
          <w:p w14:paraId="727EE979" w14:textId="4C67BEE9" w:rsidR="00131DD9" w:rsidRPr="00731B11" w:rsidRDefault="00131DD9" w:rsidP="00131D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val="es-MX" w:eastAsia="es-MX"/>
              </w:rPr>
            </w:pPr>
            <w:r>
              <w:rPr>
                <w:rFonts w:ascii="Calibri" w:hAnsi="Calibri" w:cs="Calibri"/>
                <w:b/>
                <w:bCs/>
                <w:color w:val="000000"/>
                <w:sz w:val="22"/>
              </w:rPr>
              <w:t>6459</w:t>
            </w:r>
          </w:p>
        </w:tc>
      </w:tr>
    </w:tbl>
    <w:p w14:paraId="3B1EAA82" w14:textId="53A350FE" w:rsidR="00731B11" w:rsidRDefault="00731B11" w:rsidP="003C6A42">
      <w:pPr>
        <w:spacing w:line="360" w:lineRule="auto"/>
        <w:rPr>
          <w:rFonts w:ascii="Arial" w:hAnsi="Arial" w:cs="Arial"/>
          <w:highlight w:val="yellow"/>
        </w:rPr>
      </w:pPr>
    </w:p>
    <w:p w14:paraId="45396AE6" w14:textId="77777777" w:rsidR="00731B11" w:rsidRDefault="00731B11" w:rsidP="003C6A42">
      <w:pPr>
        <w:spacing w:line="360" w:lineRule="auto"/>
        <w:rPr>
          <w:rFonts w:ascii="Arial" w:hAnsi="Arial" w:cs="Arial"/>
          <w:highlight w:val="yellow"/>
        </w:rPr>
      </w:pPr>
    </w:p>
    <w:p w14:paraId="0B206B52" w14:textId="77777777" w:rsidR="00B97CD4" w:rsidRPr="00923724" w:rsidRDefault="00B97CD4" w:rsidP="00B97CD4">
      <w:pPr>
        <w:rPr>
          <w:lang w:val="es-MX" w:eastAsia="es-MX"/>
        </w:rPr>
      </w:pPr>
      <w:r w:rsidRPr="00923724">
        <w:rPr>
          <w:noProof/>
          <w:lang w:val="es-MX" w:eastAsia="es-MX"/>
        </w:rPr>
        <w:drawing>
          <wp:anchor distT="0" distB="0" distL="114300" distR="114300" simplePos="0" relativeHeight="251743232" behindDoc="0" locked="0" layoutInCell="1" allowOverlap="1" wp14:anchorId="2C2B6BD9" wp14:editId="18D52326">
            <wp:simplePos x="0" y="0"/>
            <wp:positionH relativeFrom="margin">
              <wp:align>left</wp:align>
            </wp:positionH>
            <wp:positionV relativeFrom="paragraph">
              <wp:posOffset>12065</wp:posOffset>
            </wp:positionV>
            <wp:extent cx="600075" cy="6000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923724">
        <w:rPr>
          <w:lang w:val="es-MX" w:eastAsia="es-MX"/>
        </w:rPr>
        <w:t>De conformidad con lo establecido en el artículo 12, fracción IV de la Ley Federal de Archivos.</w:t>
      </w:r>
    </w:p>
    <w:p w14:paraId="75C1F045" w14:textId="3BA0675E" w:rsidR="00B97CD4" w:rsidRPr="00A177BA" w:rsidRDefault="00B97CD4" w:rsidP="00B97CD4">
      <w:pPr>
        <w:rPr>
          <w:lang w:val="es-MX" w:eastAsia="es-MX"/>
        </w:rPr>
      </w:pPr>
      <w:r w:rsidRPr="00923724">
        <w:rPr>
          <w:b/>
        </w:rPr>
        <w:t xml:space="preserve">Avance: </w:t>
      </w:r>
      <w:r w:rsidR="00923724" w:rsidRPr="00923724">
        <w:rPr>
          <w:b/>
        </w:rPr>
        <w:t>10</w:t>
      </w:r>
      <w:r w:rsidRPr="00923724">
        <w:rPr>
          <w:b/>
        </w:rPr>
        <w:t>0%</w:t>
      </w:r>
    </w:p>
    <w:p w14:paraId="771ADD6F" w14:textId="0B065C62" w:rsidR="00B97CD4" w:rsidRDefault="00B97CD4" w:rsidP="003C6A42">
      <w:pPr>
        <w:spacing w:line="360" w:lineRule="auto"/>
        <w:rPr>
          <w:rFonts w:ascii="Arial" w:hAnsi="Arial" w:cs="Arial"/>
          <w:highlight w:val="yellow"/>
        </w:rPr>
      </w:pPr>
    </w:p>
    <w:p w14:paraId="3CB358B8" w14:textId="7B9EAFC1" w:rsidR="00B97CD4" w:rsidRDefault="00B97CD4" w:rsidP="00B97CD4"/>
    <w:p w14:paraId="11C982C4" w14:textId="77777777" w:rsidR="00B97CD4" w:rsidRPr="00B97CD4" w:rsidRDefault="00B97CD4" w:rsidP="00B97CD4"/>
    <w:p w14:paraId="650A0585" w14:textId="6EA9719B" w:rsidR="00B52B97" w:rsidRPr="00C82F5E" w:rsidRDefault="00C82F5E" w:rsidP="008C32B4">
      <w:pPr>
        <w:pStyle w:val="Ttulo2"/>
      </w:pPr>
      <w:bookmarkStart w:id="21" w:name="_Toc25709543"/>
      <w:r>
        <w:lastRenderedPageBreak/>
        <w:t xml:space="preserve">1.3 </w:t>
      </w:r>
      <w:r w:rsidRPr="00C82F5E">
        <w:t>CAPACITACIÓN AL INTERIOR DEL INAI</w:t>
      </w:r>
      <w:bookmarkEnd w:id="21"/>
    </w:p>
    <w:p w14:paraId="4C82B81A" w14:textId="77777777" w:rsidR="00DA2E81" w:rsidRPr="00D55559" w:rsidRDefault="00DA2E81" w:rsidP="00DA2E81">
      <w:pPr>
        <w:spacing w:line="360" w:lineRule="auto"/>
        <w:jc w:val="center"/>
        <w:rPr>
          <w:rFonts w:ascii="Arial" w:hAnsi="Arial" w:cs="Arial"/>
          <w:b/>
          <w:highlight w:val="yellow"/>
        </w:rPr>
      </w:pPr>
    </w:p>
    <w:p w14:paraId="4DDD8FCA" w14:textId="54809F60" w:rsidR="002C21B3" w:rsidRDefault="003C6A42" w:rsidP="000011C0">
      <w:pPr>
        <w:pStyle w:val="Ttulo3"/>
      </w:pPr>
      <w:bookmarkStart w:id="22" w:name="_Toc25709544"/>
      <w:r w:rsidRPr="00B31076">
        <w:t>1.3</w:t>
      </w:r>
      <w:r w:rsidR="002C21B3" w:rsidRPr="00B31076">
        <w:t>A</w:t>
      </w:r>
      <w:r w:rsidR="00F71F62" w:rsidRPr="00B31076">
        <w:t xml:space="preserve"> </w:t>
      </w:r>
      <w:r w:rsidR="002C21B3" w:rsidRPr="00B31076">
        <w:t>Impartir cursos de capacitación para los responsables de control de gestión del INAI</w:t>
      </w:r>
      <w:r w:rsidR="00333D13">
        <w:t>.</w:t>
      </w:r>
      <w:bookmarkEnd w:id="22"/>
    </w:p>
    <w:p w14:paraId="64AF2B55" w14:textId="77777777" w:rsidR="00333D13" w:rsidRPr="00333D13" w:rsidRDefault="00333D13" w:rsidP="00333D13"/>
    <w:p w14:paraId="6BF4F365" w14:textId="3F2F9695" w:rsidR="000F2A45" w:rsidRPr="00333D13" w:rsidRDefault="002728F2" w:rsidP="00333D13">
      <w:r>
        <w:t>E</w:t>
      </w:r>
      <w:r w:rsidR="00B97CD4">
        <w:t xml:space="preserve">n coordinación con la Subdirección de Control de Gestión </w:t>
      </w:r>
      <w:r w:rsidR="002E55E8">
        <w:t>dependiente de la</w:t>
      </w:r>
      <w:r w:rsidR="00B97CD4">
        <w:t xml:space="preserve"> Dirección G</w:t>
      </w:r>
      <w:r w:rsidR="002E55E8">
        <w:t>e</w:t>
      </w:r>
      <w:r w:rsidR="00B97CD4">
        <w:t>neral de Administración</w:t>
      </w:r>
      <w:r w:rsidR="000011C0">
        <w:t>,</w:t>
      </w:r>
      <w:r w:rsidR="00B97CD4">
        <w:t xml:space="preserve"> </w:t>
      </w:r>
      <w:r>
        <w:t xml:space="preserve">se </w:t>
      </w:r>
      <w:r w:rsidR="000728F8" w:rsidRPr="00333D13">
        <w:t>impartió</w:t>
      </w:r>
      <w:r w:rsidR="007D3626" w:rsidRPr="00333D13">
        <w:t xml:space="preserve"> capa</w:t>
      </w:r>
      <w:r w:rsidR="00333D13" w:rsidRPr="00333D13">
        <w:t xml:space="preserve">citación sobre la operación del módulo de </w:t>
      </w:r>
      <w:r>
        <w:t>C</w:t>
      </w:r>
      <w:r w:rsidR="00333D13" w:rsidRPr="00333D13">
        <w:t>ontrol de ge</w:t>
      </w:r>
      <w:r w:rsidR="000011C0">
        <w:t>stión del Sistema GD-Mx</w:t>
      </w:r>
      <w:r w:rsidR="00333D13" w:rsidRPr="00333D13">
        <w:t xml:space="preserve"> </w:t>
      </w:r>
      <w:r w:rsidR="007D3626" w:rsidRPr="00333D13">
        <w:t xml:space="preserve">a los </w:t>
      </w:r>
      <w:r w:rsidR="00B31076" w:rsidRPr="00333D13">
        <w:t>servidores p</w:t>
      </w:r>
      <w:r w:rsidR="00333D13" w:rsidRPr="00333D13">
        <w:t>úblico</w:t>
      </w:r>
      <w:r w:rsidR="00B31076" w:rsidRPr="00333D13">
        <w:t xml:space="preserve">s que actúan como </w:t>
      </w:r>
      <w:r w:rsidR="00333D13" w:rsidRPr="00333D13">
        <w:t xml:space="preserve">enlaces </w:t>
      </w:r>
      <w:r w:rsidR="00333D13">
        <w:t>para la realización de</w:t>
      </w:r>
      <w:r w:rsidR="00333D13" w:rsidRPr="00333D13">
        <w:t xml:space="preserve"> </w:t>
      </w:r>
      <w:r w:rsidR="00B97CD4">
        <w:t xml:space="preserve">las </w:t>
      </w:r>
      <w:r w:rsidR="00333D13" w:rsidRPr="00333D13">
        <w:t>funciones d</w:t>
      </w:r>
      <w:r w:rsidR="00333D13">
        <w:t>e control y seguimiento de la correspondencia</w:t>
      </w:r>
      <w:r w:rsidR="00333D13" w:rsidRPr="00333D13">
        <w:t xml:space="preserve"> de entrada y salida d</w:t>
      </w:r>
      <w:r w:rsidR="00B97CD4">
        <w:t>el Instituto</w:t>
      </w:r>
      <w:r w:rsidR="00333D13">
        <w:t>, esta capacitación se llev</w:t>
      </w:r>
      <w:r w:rsidR="002E55E8">
        <w:t xml:space="preserve">ó a cabo los días </w:t>
      </w:r>
      <w:r w:rsidR="002E55E8" w:rsidRPr="002E55E8">
        <w:t>22 a 27 de mayo de 2019</w:t>
      </w:r>
      <w:r w:rsidR="002E55E8">
        <w:t xml:space="preserve"> en el </w:t>
      </w:r>
      <w:r>
        <w:t>Auditorio Lujambio del Instituto y en ellas se capacitaron a 26 servidores públicos de diferentes unidades administrativas.</w:t>
      </w:r>
    </w:p>
    <w:p w14:paraId="03413DAE" w14:textId="77777777" w:rsidR="003C6A42" w:rsidRPr="00D55559" w:rsidRDefault="003C6A42" w:rsidP="007D3626">
      <w:pPr>
        <w:spacing w:line="360" w:lineRule="auto"/>
        <w:rPr>
          <w:rFonts w:ascii="Arial" w:hAnsi="Arial" w:cs="Arial"/>
          <w:b/>
          <w:highlight w:val="yellow"/>
        </w:rPr>
      </w:pPr>
    </w:p>
    <w:p w14:paraId="0A1FED02" w14:textId="28DCF2B3" w:rsidR="003C6A42" w:rsidRPr="00991CFD" w:rsidRDefault="003C6A42" w:rsidP="00991CFD">
      <w:pPr>
        <w:rPr>
          <w:lang w:val="es-MX" w:eastAsia="es-MX"/>
        </w:rPr>
      </w:pPr>
      <w:r w:rsidRPr="004D0998">
        <w:rPr>
          <w:b/>
          <w:noProof/>
          <w:lang w:val="es-MX" w:eastAsia="es-MX"/>
        </w:rPr>
        <w:drawing>
          <wp:anchor distT="0" distB="0" distL="114300" distR="114300" simplePos="0" relativeHeight="251718656" behindDoc="0" locked="0" layoutInCell="1" allowOverlap="1" wp14:anchorId="32F4C74A" wp14:editId="738E3D11">
            <wp:simplePos x="0" y="0"/>
            <wp:positionH relativeFrom="margin">
              <wp:align>left</wp:align>
            </wp:positionH>
            <wp:positionV relativeFrom="paragraph">
              <wp:posOffset>12065</wp:posOffset>
            </wp:positionV>
            <wp:extent cx="600075" cy="600075"/>
            <wp:effectExtent l="0" t="0" r="9525" b="952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00991CFD" w:rsidRPr="004D0998">
        <w:rPr>
          <w:b/>
          <w:lang w:val="es-MX" w:eastAsia="es-MX"/>
        </w:rPr>
        <w:t>Fundamento legal</w:t>
      </w:r>
      <w:r w:rsidR="00991CFD">
        <w:rPr>
          <w:lang w:val="es-MX" w:eastAsia="es-MX"/>
        </w:rPr>
        <w:t xml:space="preserve">: </w:t>
      </w:r>
      <w:r w:rsidR="00991CFD" w:rsidRPr="00991CFD">
        <w:rPr>
          <w:lang w:val="es-MX" w:eastAsia="es-MX"/>
        </w:rPr>
        <w:t>A</w:t>
      </w:r>
      <w:r w:rsidRPr="00991CFD">
        <w:rPr>
          <w:lang w:val="es-MX" w:eastAsia="es-MX"/>
        </w:rPr>
        <w:t xml:space="preserve">rtículo </w:t>
      </w:r>
      <w:r w:rsidR="00991CFD" w:rsidRPr="00991CFD">
        <w:rPr>
          <w:lang w:val="es-MX" w:eastAsia="es-MX"/>
        </w:rPr>
        <w:t>28, fracción VII</w:t>
      </w:r>
      <w:r w:rsidRPr="00991CFD">
        <w:rPr>
          <w:lang w:val="es-MX" w:eastAsia="es-MX"/>
        </w:rPr>
        <w:t xml:space="preserve"> de la Ley Federal de Archivos.</w:t>
      </w:r>
    </w:p>
    <w:p w14:paraId="05D40C9E" w14:textId="074FE59F" w:rsidR="003C6A42" w:rsidRPr="00991CFD" w:rsidRDefault="003C6A42" w:rsidP="00991CFD">
      <w:pPr>
        <w:rPr>
          <w:lang w:val="es-MX" w:eastAsia="es-MX"/>
        </w:rPr>
      </w:pPr>
      <w:r w:rsidRPr="00991CFD">
        <w:rPr>
          <w:b/>
        </w:rPr>
        <w:t xml:space="preserve">Avance: </w:t>
      </w:r>
      <w:r w:rsidR="00B97CD4">
        <w:rPr>
          <w:b/>
        </w:rPr>
        <w:t>10</w:t>
      </w:r>
      <w:r w:rsidRPr="00991CFD">
        <w:rPr>
          <w:b/>
        </w:rPr>
        <w:t>0%</w:t>
      </w:r>
    </w:p>
    <w:p w14:paraId="509C420A" w14:textId="1B10EA00" w:rsidR="007C5B67" w:rsidRDefault="007C5B67" w:rsidP="00AF50EB">
      <w:pPr>
        <w:spacing w:line="360" w:lineRule="auto"/>
        <w:rPr>
          <w:rFonts w:ascii="Arial" w:hAnsi="Arial" w:cs="Arial"/>
          <w:b/>
          <w:highlight w:val="yellow"/>
        </w:rPr>
      </w:pPr>
    </w:p>
    <w:p w14:paraId="72EDC163" w14:textId="77777777" w:rsidR="00923724" w:rsidRPr="00D55559" w:rsidRDefault="00923724" w:rsidP="00AF50EB">
      <w:pPr>
        <w:spacing w:line="360" w:lineRule="auto"/>
        <w:rPr>
          <w:rFonts w:ascii="Arial" w:hAnsi="Arial" w:cs="Arial"/>
          <w:b/>
          <w:highlight w:val="yellow"/>
        </w:rPr>
      </w:pPr>
    </w:p>
    <w:p w14:paraId="7A441638" w14:textId="603D38FC" w:rsidR="009B11EF" w:rsidRDefault="003C6A42" w:rsidP="000011C0">
      <w:pPr>
        <w:pStyle w:val="Ttulo3"/>
        <w:rPr>
          <w:lang w:val="es-MX" w:eastAsia="es-MX"/>
        </w:rPr>
      </w:pPr>
      <w:bookmarkStart w:id="23" w:name="_Toc25709545"/>
      <w:r w:rsidRPr="009815EC">
        <w:rPr>
          <w:lang w:val="es-MX" w:eastAsia="es-MX"/>
        </w:rPr>
        <w:t>1.3</w:t>
      </w:r>
      <w:r w:rsidR="00D509B0" w:rsidRPr="009815EC">
        <w:rPr>
          <w:lang w:val="es-MX" w:eastAsia="es-MX"/>
        </w:rPr>
        <w:t xml:space="preserve">B </w:t>
      </w:r>
      <w:r w:rsidRPr="009815EC">
        <w:rPr>
          <w:lang w:val="es-MX" w:eastAsia="es-MX"/>
        </w:rPr>
        <w:t>– 1.3</w:t>
      </w:r>
      <w:r w:rsidR="009B11EF" w:rsidRPr="009815EC">
        <w:rPr>
          <w:lang w:val="es-MX" w:eastAsia="es-MX"/>
        </w:rPr>
        <w:t xml:space="preserve">C </w:t>
      </w:r>
      <w:r w:rsidR="00D509B0" w:rsidRPr="009815EC">
        <w:rPr>
          <w:lang w:val="es-MX" w:eastAsia="es-MX"/>
        </w:rPr>
        <w:t>Impartir curso 1</w:t>
      </w:r>
      <w:r w:rsidR="009B11EF" w:rsidRPr="009815EC">
        <w:rPr>
          <w:lang w:val="es-MX" w:eastAsia="es-MX"/>
        </w:rPr>
        <w:t xml:space="preserve"> y 2</w:t>
      </w:r>
      <w:r w:rsidR="000728F8" w:rsidRPr="009815EC">
        <w:rPr>
          <w:lang w:val="es-MX" w:eastAsia="es-MX"/>
        </w:rPr>
        <w:t xml:space="preserve"> de capacitación para los Responsables de A</w:t>
      </w:r>
      <w:r w:rsidR="009B11EF" w:rsidRPr="009815EC">
        <w:rPr>
          <w:lang w:val="es-MX" w:eastAsia="es-MX"/>
        </w:rPr>
        <w:t xml:space="preserve">rchivo </w:t>
      </w:r>
      <w:r w:rsidR="000728F8" w:rsidRPr="009815EC">
        <w:rPr>
          <w:lang w:val="es-MX" w:eastAsia="es-MX"/>
        </w:rPr>
        <w:t xml:space="preserve">de Trámite </w:t>
      </w:r>
      <w:r w:rsidR="009B11EF" w:rsidRPr="009815EC">
        <w:rPr>
          <w:lang w:val="es-MX" w:eastAsia="es-MX"/>
        </w:rPr>
        <w:t>de</w:t>
      </w:r>
      <w:r w:rsidR="009815EC">
        <w:rPr>
          <w:lang w:val="es-MX" w:eastAsia="es-MX"/>
        </w:rPr>
        <w:t>l INAI</w:t>
      </w:r>
      <w:bookmarkEnd w:id="23"/>
    </w:p>
    <w:p w14:paraId="75D12CCD" w14:textId="77777777" w:rsidR="009815EC" w:rsidRPr="009815EC" w:rsidRDefault="009815EC" w:rsidP="009815EC">
      <w:pPr>
        <w:rPr>
          <w:b/>
        </w:rPr>
      </w:pPr>
    </w:p>
    <w:p w14:paraId="47E22A20" w14:textId="44CA0C0E" w:rsidR="002C21B3" w:rsidRDefault="00D509B0" w:rsidP="009815EC">
      <w:r w:rsidRPr="009815EC">
        <w:t>En cumplimiento a las actividades de capacitación en materia de gestión documental y organización de archi</w:t>
      </w:r>
      <w:r w:rsidR="002728F2">
        <w:t xml:space="preserve">vos, se informa que se capacitaron </w:t>
      </w:r>
      <w:r w:rsidRPr="009815EC">
        <w:t>a 63 servidores públicos que actúan como Responsables de Archivo de Trámite, los cuales atendieron la convocatoria a dos cursos de capacitación que se programaron en el p</w:t>
      </w:r>
      <w:r w:rsidR="00683C6D">
        <w:t>rimer y segundo semestre de 2019</w:t>
      </w:r>
      <w:r w:rsidRPr="009815EC">
        <w:t>, conforme al siguiente detalle:</w:t>
      </w:r>
    </w:p>
    <w:p w14:paraId="3F7A5ADF" w14:textId="77777777" w:rsidR="009815EC" w:rsidRPr="009815EC" w:rsidRDefault="009815EC" w:rsidP="00E35327">
      <w:pPr>
        <w:jc w:val="center"/>
      </w:pPr>
    </w:p>
    <w:tbl>
      <w:tblPr>
        <w:tblStyle w:val="Tabladecuadrcula4-nfasis4"/>
        <w:tblpPr w:leftFromText="141" w:rightFromText="141" w:vertAnchor="text" w:horzAnchor="margin" w:tblpXSpec="center" w:tblpY="20"/>
        <w:tblW w:w="8500" w:type="dxa"/>
        <w:tblLayout w:type="fixed"/>
        <w:tblLook w:val="04A0" w:firstRow="1" w:lastRow="0" w:firstColumn="1" w:lastColumn="0" w:noHBand="0" w:noVBand="1"/>
      </w:tblPr>
      <w:tblGrid>
        <w:gridCol w:w="4528"/>
        <w:gridCol w:w="2130"/>
        <w:gridCol w:w="1842"/>
      </w:tblGrid>
      <w:tr w:rsidR="00D509B0" w:rsidRPr="00131DD9" w14:paraId="56B94B3E" w14:textId="77777777" w:rsidTr="002728F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8" w:type="dxa"/>
            <w:noWrap/>
            <w:hideMark/>
          </w:tcPr>
          <w:p w14:paraId="070AB6F6" w14:textId="3271F6C1" w:rsidR="00D509B0" w:rsidRPr="00131DD9" w:rsidRDefault="00683C6D" w:rsidP="002728F2">
            <w:pPr>
              <w:jc w:val="center"/>
              <w:rPr>
                <w:rFonts w:asciiTheme="minorHAnsi" w:hAnsiTheme="minorHAnsi" w:cstheme="minorHAnsi"/>
                <w:sz w:val="22"/>
              </w:rPr>
            </w:pPr>
            <w:r w:rsidRPr="00131DD9">
              <w:rPr>
                <w:rFonts w:asciiTheme="minorHAnsi" w:hAnsiTheme="minorHAnsi" w:cstheme="minorHAnsi"/>
                <w:sz w:val="22"/>
              </w:rPr>
              <w:t>Nombre del Curso</w:t>
            </w:r>
          </w:p>
        </w:tc>
        <w:tc>
          <w:tcPr>
            <w:tcW w:w="2130" w:type="dxa"/>
          </w:tcPr>
          <w:p w14:paraId="4119C180" w14:textId="793AC0DB" w:rsidR="00D509B0" w:rsidRPr="00131DD9" w:rsidRDefault="009815EC" w:rsidP="002728F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Fecha</w:t>
            </w:r>
            <w:r w:rsidR="00D509B0" w:rsidRPr="00131DD9">
              <w:rPr>
                <w:rFonts w:asciiTheme="minorHAnsi" w:hAnsiTheme="minorHAnsi" w:cstheme="minorHAnsi"/>
                <w:sz w:val="22"/>
              </w:rPr>
              <w:t xml:space="preserve"> de la capacitación</w:t>
            </w:r>
          </w:p>
        </w:tc>
        <w:tc>
          <w:tcPr>
            <w:tcW w:w="1842" w:type="dxa"/>
          </w:tcPr>
          <w:p w14:paraId="142125F1" w14:textId="31EFB29D" w:rsidR="00D509B0" w:rsidRPr="00131DD9" w:rsidRDefault="00D509B0" w:rsidP="002728F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Servi</w:t>
            </w:r>
            <w:r w:rsidR="00683C6D" w:rsidRPr="00131DD9">
              <w:rPr>
                <w:rFonts w:asciiTheme="minorHAnsi" w:hAnsiTheme="minorHAnsi" w:cstheme="minorHAnsi"/>
                <w:sz w:val="22"/>
              </w:rPr>
              <w:t>dores públicos capacitados</w:t>
            </w:r>
          </w:p>
        </w:tc>
      </w:tr>
      <w:tr w:rsidR="00D509B0" w:rsidRPr="00131DD9" w14:paraId="12CB81CD" w14:textId="77777777" w:rsidTr="002728F2">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4528" w:type="dxa"/>
            <w:noWrap/>
          </w:tcPr>
          <w:p w14:paraId="1D88684F" w14:textId="77777777" w:rsidR="00D509B0" w:rsidRPr="00131DD9" w:rsidRDefault="00D509B0" w:rsidP="002728F2">
            <w:pPr>
              <w:rPr>
                <w:rFonts w:asciiTheme="minorHAnsi" w:hAnsiTheme="minorHAnsi" w:cstheme="minorHAnsi"/>
                <w:b w:val="0"/>
                <w:sz w:val="22"/>
              </w:rPr>
            </w:pPr>
            <w:r w:rsidRPr="00131DD9">
              <w:rPr>
                <w:rFonts w:asciiTheme="minorHAnsi" w:hAnsiTheme="minorHAnsi" w:cstheme="minorHAnsi"/>
                <w:b w:val="0"/>
                <w:sz w:val="22"/>
              </w:rPr>
              <w:t>Curso “Organización del archivo de trámite”</w:t>
            </w:r>
          </w:p>
        </w:tc>
        <w:tc>
          <w:tcPr>
            <w:tcW w:w="2130" w:type="dxa"/>
          </w:tcPr>
          <w:p w14:paraId="15166FED" w14:textId="08533D95" w:rsidR="00D509B0" w:rsidRPr="00131DD9" w:rsidRDefault="002370D1" w:rsidP="00272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22 a 27 de mayo de 2019</w:t>
            </w:r>
          </w:p>
        </w:tc>
        <w:tc>
          <w:tcPr>
            <w:tcW w:w="1842" w:type="dxa"/>
          </w:tcPr>
          <w:p w14:paraId="18D086AE" w14:textId="576E5286" w:rsidR="00D509B0" w:rsidRPr="00131DD9" w:rsidRDefault="002370D1" w:rsidP="00272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71</w:t>
            </w:r>
          </w:p>
        </w:tc>
      </w:tr>
      <w:tr w:rsidR="00D509B0" w:rsidRPr="00131DD9" w14:paraId="4A549BF6" w14:textId="77777777" w:rsidTr="002728F2">
        <w:trPr>
          <w:trHeight w:val="1323"/>
        </w:trPr>
        <w:tc>
          <w:tcPr>
            <w:cnfStyle w:val="001000000000" w:firstRow="0" w:lastRow="0" w:firstColumn="1" w:lastColumn="0" w:oddVBand="0" w:evenVBand="0" w:oddHBand="0" w:evenHBand="0" w:firstRowFirstColumn="0" w:firstRowLastColumn="0" w:lastRowFirstColumn="0" w:lastRowLastColumn="0"/>
            <w:tcW w:w="4528" w:type="dxa"/>
            <w:noWrap/>
          </w:tcPr>
          <w:p w14:paraId="6312B0C4" w14:textId="0F01C366" w:rsidR="00D509B0" w:rsidRPr="00131DD9" w:rsidRDefault="00D509B0" w:rsidP="002728F2">
            <w:pPr>
              <w:rPr>
                <w:rFonts w:asciiTheme="minorHAnsi" w:hAnsiTheme="minorHAnsi" w:cstheme="minorHAnsi"/>
                <w:b w:val="0"/>
                <w:sz w:val="22"/>
              </w:rPr>
            </w:pPr>
            <w:r w:rsidRPr="00131DD9">
              <w:rPr>
                <w:rFonts w:asciiTheme="minorHAnsi" w:hAnsiTheme="minorHAnsi" w:cstheme="minorHAnsi"/>
                <w:b w:val="0"/>
                <w:sz w:val="22"/>
              </w:rPr>
              <w:lastRenderedPageBreak/>
              <w:t>Curso “Organización del archivo de trámite</w:t>
            </w:r>
            <w:r w:rsidR="002728F2" w:rsidRPr="00131DD9">
              <w:rPr>
                <w:rFonts w:asciiTheme="minorHAnsi" w:hAnsiTheme="minorHAnsi" w:cstheme="minorHAnsi"/>
                <w:b w:val="0"/>
                <w:sz w:val="22"/>
              </w:rPr>
              <w:t xml:space="preserve"> y operación del módulo de trámite del sistema GDM-x</w:t>
            </w:r>
            <w:r w:rsidRPr="00131DD9">
              <w:rPr>
                <w:rFonts w:asciiTheme="minorHAnsi" w:hAnsiTheme="minorHAnsi" w:cstheme="minorHAnsi"/>
                <w:b w:val="0"/>
                <w:sz w:val="22"/>
              </w:rPr>
              <w:t>”</w:t>
            </w:r>
          </w:p>
          <w:p w14:paraId="243F5EFB" w14:textId="2F7F9745" w:rsidR="00683C6D" w:rsidRPr="00131DD9" w:rsidRDefault="00683C6D" w:rsidP="002728F2">
            <w:pPr>
              <w:rPr>
                <w:rFonts w:asciiTheme="minorHAnsi" w:hAnsiTheme="minorHAnsi" w:cstheme="minorHAnsi"/>
                <w:b w:val="0"/>
                <w:sz w:val="22"/>
              </w:rPr>
            </w:pPr>
            <w:r w:rsidRPr="00131DD9">
              <w:rPr>
                <w:rFonts w:asciiTheme="minorHAnsi" w:hAnsiTheme="minorHAnsi" w:cstheme="minorHAnsi"/>
                <w:b w:val="0"/>
                <w:sz w:val="22"/>
              </w:rPr>
              <w:t xml:space="preserve">Dirigido a </w:t>
            </w:r>
            <w:r w:rsidR="00E35327" w:rsidRPr="00131DD9">
              <w:rPr>
                <w:rFonts w:asciiTheme="minorHAnsi" w:hAnsiTheme="minorHAnsi" w:cstheme="minorHAnsi"/>
                <w:b w:val="0"/>
                <w:sz w:val="22"/>
              </w:rPr>
              <w:t xml:space="preserve">18 </w:t>
            </w:r>
            <w:r w:rsidRPr="00131DD9">
              <w:rPr>
                <w:rFonts w:asciiTheme="minorHAnsi" w:hAnsiTheme="minorHAnsi" w:cstheme="minorHAnsi"/>
                <w:b w:val="0"/>
                <w:sz w:val="22"/>
              </w:rPr>
              <w:t>servidores públicos designados como RAT en 2019.</w:t>
            </w:r>
          </w:p>
        </w:tc>
        <w:tc>
          <w:tcPr>
            <w:tcW w:w="2130" w:type="dxa"/>
          </w:tcPr>
          <w:p w14:paraId="2E2B7DEE" w14:textId="5FE92790" w:rsidR="00D509B0" w:rsidRPr="00131DD9" w:rsidRDefault="00683C6D" w:rsidP="00272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5 de noviembre de</w:t>
            </w:r>
            <w:r w:rsidR="002370D1" w:rsidRPr="00131DD9">
              <w:rPr>
                <w:rFonts w:asciiTheme="minorHAnsi" w:hAnsiTheme="minorHAnsi" w:cstheme="minorHAnsi"/>
                <w:sz w:val="22"/>
              </w:rPr>
              <w:t xml:space="preserve"> 2019</w:t>
            </w:r>
            <w:r w:rsidRPr="00131DD9">
              <w:rPr>
                <w:rFonts w:asciiTheme="minorHAnsi" w:hAnsiTheme="minorHAnsi" w:cstheme="minorHAnsi"/>
                <w:sz w:val="22"/>
              </w:rPr>
              <w:t>.</w:t>
            </w:r>
          </w:p>
        </w:tc>
        <w:tc>
          <w:tcPr>
            <w:tcW w:w="1842" w:type="dxa"/>
          </w:tcPr>
          <w:p w14:paraId="558AD685" w14:textId="6C9BF7F6" w:rsidR="00D509B0" w:rsidRPr="00131DD9" w:rsidRDefault="00683C6D" w:rsidP="00272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131DD9">
              <w:rPr>
                <w:rFonts w:asciiTheme="minorHAnsi" w:hAnsiTheme="minorHAnsi" w:cstheme="minorHAnsi"/>
                <w:sz w:val="22"/>
              </w:rPr>
              <w:t>13</w:t>
            </w:r>
          </w:p>
        </w:tc>
      </w:tr>
      <w:tr w:rsidR="00D509B0" w:rsidRPr="00131DD9" w14:paraId="7324BDBB" w14:textId="77777777" w:rsidTr="002728F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28" w:type="dxa"/>
            <w:noWrap/>
          </w:tcPr>
          <w:p w14:paraId="2AEFF892" w14:textId="77777777" w:rsidR="00D509B0" w:rsidRPr="00131DD9" w:rsidRDefault="00D509B0" w:rsidP="002728F2">
            <w:pPr>
              <w:rPr>
                <w:rFonts w:asciiTheme="minorHAnsi" w:hAnsiTheme="minorHAnsi" w:cstheme="minorHAnsi"/>
                <w:sz w:val="22"/>
              </w:rPr>
            </w:pPr>
          </w:p>
        </w:tc>
        <w:tc>
          <w:tcPr>
            <w:tcW w:w="2130" w:type="dxa"/>
          </w:tcPr>
          <w:p w14:paraId="531FC876" w14:textId="77777777" w:rsidR="00D509B0" w:rsidRPr="00131DD9" w:rsidRDefault="00D509B0" w:rsidP="002728F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sidRPr="00131DD9">
              <w:rPr>
                <w:rFonts w:asciiTheme="minorHAnsi" w:hAnsiTheme="minorHAnsi" w:cstheme="minorHAnsi"/>
                <w:b/>
                <w:sz w:val="22"/>
              </w:rPr>
              <w:t>Total</w:t>
            </w:r>
          </w:p>
        </w:tc>
        <w:tc>
          <w:tcPr>
            <w:tcW w:w="1842" w:type="dxa"/>
          </w:tcPr>
          <w:p w14:paraId="055A4564" w14:textId="6E6038F1" w:rsidR="00D509B0" w:rsidRPr="00131DD9" w:rsidRDefault="00E35327" w:rsidP="00272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rPr>
            </w:pPr>
            <w:r w:rsidRPr="00131DD9">
              <w:rPr>
                <w:rFonts w:asciiTheme="minorHAnsi" w:hAnsiTheme="minorHAnsi" w:cstheme="minorHAnsi"/>
                <w:b/>
                <w:sz w:val="22"/>
              </w:rPr>
              <w:t>84</w:t>
            </w:r>
          </w:p>
        </w:tc>
      </w:tr>
    </w:tbl>
    <w:p w14:paraId="43467CF1" w14:textId="4ABEDB91" w:rsidR="002C21B3" w:rsidRPr="002728F2" w:rsidRDefault="002C21B3" w:rsidP="009B11EF">
      <w:pPr>
        <w:spacing w:line="360" w:lineRule="auto"/>
        <w:rPr>
          <w:rFonts w:ascii="Arial" w:hAnsi="Arial" w:cs="Arial"/>
          <w:sz w:val="28"/>
          <w:highlight w:val="yellow"/>
        </w:rPr>
      </w:pPr>
    </w:p>
    <w:p w14:paraId="5CAAF763" w14:textId="7D6AE615" w:rsidR="007732F6" w:rsidRPr="00D55559" w:rsidRDefault="007732F6" w:rsidP="009B11EF">
      <w:pPr>
        <w:spacing w:line="360" w:lineRule="auto"/>
        <w:rPr>
          <w:rFonts w:ascii="Arial" w:hAnsi="Arial" w:cs="Arial"/>
          <w:highlight w:val="yellow"/>
        </w:rPr>
      </w:pPr>
    </w:p>
    <w:p w14:paraId="074F2B60" w14:textId="77777777" w:rsidR="003C6A42" w:rsidRPr="00923724" w:rsidRDefault="003C6A42" w:rsidP="002728F2">
      <w:pPr>
        <w:rPr>
          <w:lang w:val="es-MX" w:eastAsia="es-MX"/>
        </w:rPr>
      </w:pPr>
      <w:r w:rsidRPr="00923724">
        <w:rPr>
          <w:noProof/>
          <w:lang w:val="es-MX" w:eastAsia="es-MX"/>
        </w:rPr>
        <w:drawing>
          <wp:anchor distT="0" distB="0" distL="114300" distR="114300" simplePos="0" relativeHeight="251720704" behindDoc="0" locked="0" layoutInCell="1" allowOverlap="1" wp14:anchorId="3DFA90EB" wp14:editId="50966BDA">
            <wp:simplePos x="0" y="0"/>
            <wp:positionH relativeFrom="margin">
              <wp:align>left</wp:align>
            </wp:positionH>
            <wp:positionV relativeFrom="paragraph">
              <wp:posOffset>12065</wp:posOffset>
            </wp:positionV>
            <wp:extent cx="600075" cy="600075"/>
            <wp:effectExtent l="0" t="0" r="952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923724">
        <w:rPr>
          <w:lang w:val="es-MX" w:eastAsia="es-MX"/>
        </w:rPr>
        <w:t>De conformidad con lo establecido en el artículo 12, fracción V de la Ley Federal de Archivos.</w:t>
      </w:r>
    </w:p>
    <w:p w14:paraId="033FB475" w14:textId="013881A7" w:rsidR="003C6A42" w:rsidRPr="002728F2" w:rsidRDefault="003C6A42" w:rsidP="002728F2">
      <w:pPr>
        <w:rPr>
          <w:b/>
          <w:lang w:val="es-MX" w:eastAsia="es-MX"/>
        </w:rPr>
      </w:pPr>
      <w:r w:rsidRPr="00923724">
        <w:rPr>
          <w:b/>
        </w:rPr>
        <w:t xml:space="preserve">Avance: </w:t>
      </w:r>
      <w:r w:rsidR="002728F2" w:rsidRPr="00923724">
        <w:rPr>
          <w:b/>
        </w:rPr>
        <w:t>10</w:t>
      </w:r>
      <w:r w:rsidRPr="00923724">
        <w:rPr>
          <w:b/>
        </w:rPr>
        <w:t>0%</w:t>
      </w:r>
    </w:p>
    <w:p w14:paraId="43EECD23" w14:textId="77777777" w:rsidR="00DA5CF1" w:rsidRPr="00D55559" w:rsidRDefault="00DA5CF1" w:rsidP="002927F1">
      <w:pPr>
        <w:spacing w:line="360" w:lineRule="auto"/>
        <w:rPr>
          <w:rFonts w:ascii="Arial" w:hAnsi="Arial" w:cs="Arial"/>
          <w:highlight w:val="yellow"/>
        </w:rPr>
      </w:pPr>
    </w:p>
    <w:p w14:paraId="69EE7979" w14:textId="77777777" w:rsidR="00E86769" w:rsidRPr="007D729E" w:rsidRDefault="00E86769" w:rsidP="003F1857">
      <w:pPr>
        <w:spacing w:line="360" w:lineRule="auto"/>
        <w:rPr>
          <w:rFonts w:ascii="Arial" w:hAnsi="Arial" w:cs="Arial"/>
        </w:rPr>
      </w:pPr>
    </w:p>
    <w:p w14:paraId="0A7D906B" w14:textId="759A5332" w:rsidR="00F71F62" w:rsidRPr="007D729E" w:rsidRDefault="007D729E" w:rsidP="00C26690">
      <w:pPr>
        <w:pStyle w:val="Ttulo2"/>
      </w:pPr>
      <w:bookmarkStart w:id="24" w:name="_Toc25709546"/>
      <w:r>
        <w:t>1.4 INFRAESTRUCTURA</w:t>
      </w:r>
      <w:bookmarkEnd w:id="24"/>
    </w:p>
    <w:p w14:paraId="0F93460E" w14:textId="77777777" w:rsidR="000728F8" w:rsidRPr="007D729E" w:rsidRDefault="000728F8" w:rsidP="000728F8">
      <w:pPr>
        <w:pStyle w:val="Prrafodelista"/>
        <w:spacing w:line="360" w:lineRule="auto"/>
        <w:ind w:left="792"/>
        <w:rPr>
          <w:rFonts w:ascii="Arial" w:hAnsi="Arial" w:cs="Arial"/>
          <w:b/>
          <w:sz w:val="28"/>
          <w:szCs w:val="28"/>
        </w:rPr>
      </w:pPr>
    </w:p>
    <w:p w14:paraId="37B3BEC2" w14:textId="6EDCF26D" w:rsidR="000728F8" w:rsidRPr="007D729E" w:rsidRDefault="003C6A42" w:rsidP="000011C0">
      <w:pPr>
        <w:pStyle w:val="Ttulo3"/>
      </w:pPr>
      <w:bookmarkStart w:id="25" w:name="_Toc25709547"/>
      <w:r w:rsidRPr="007D729E">
        <w:t>1.4</w:t>
      </w:r>
      <w:r w:rsidR="007D729E">
        <w:t>A Adquirir</w:t>
      </w:r>
      <w:r w:rsidR="007D729E" w:rsidRPr="00555173">
        <w:t xml:space="preserve"> </w:t>
      </w:r>
      <w:r w:rsidR="00EB6235">
        <w:t>equipo</w:t>
      </w:r>
      <w:r w:rsidR="00DD2662">
        <w:t xml:space="preserve"> de conservación y preservación</w:t>
      </w:r>
      <w:r w:rsidR="00EB6235">
        <w:t xml:space="preserve"> </w:t>
      </w:r>
      <w:r w:rsidR="00017BAF" w:rsidRPr="007D729E">
        <w:t>de archivos</w:t>
      </w:r>
      <w:bookmarkEnd w:id="25"/>
    </w:p>
    <w:p w14:paraId="60ABD3DE" w14:textId="3AD84714" w:rsidR="007D729E" w:rsidRDefault="007D729E" w:rsidP="007D729E"/>
    <w:p w14:paraId="5E3927C9" w14:textId="3CF4F829" w:rsidR="00EB6235" w:rsidRDefault="00967E67" w:rsidP="00967E67">
      <w:r w:rsidRPr="00555173">
        <w:t>Para la</w:t>
      </w:r>
      <w:r w:rsidR="00DD2662">
        <w:t xml:space="preserve"> adecuada</w:t>
      </w:r>
      <w:r w:rsidRPr="00555173">
        <w:t xml:space="preserve"> operación de la</w:t>
      </w:r>
      <w:r w:rsidR="00555173">
        <w:t>s</w:t>
      </w:r>
      <w:r w:rsidRPr="00555173">
        <w:t xml:space="preserve"> actividades de organización de los archivos del INAI</w:t>
      </w:r>
      <w:r w:rsidR="00577980">
        <w:t xml:space="preserve">, </w:t>
      </w:r>
      <w:r w:rsidR="00555173" w:rsidRPr="00555173">
        <w:t xml:space="preserve">durante </w:t>
      </w:r>
      <w:r w:rsidRPr="00555173">
        <w:t>el ejercic</w:t>
      </w:r>
      <w:r w:rsidR="00555173" w:rsidRPr="00555173">
        <w:t>i</w:t>
      </w:r>
      <w:r w:rsidR="00577980">
        <w:t>o de 2019</w:t>
      </w:r>
      <w:r w:rsidRPr="00555173">
        <w:t xml:space="preserve"> se realizaron las gestiones administrativas necesarias para la adquisición de </w:t>
      </w:r>
      <w:r w:rsidR="0019585A" w:rsidRPr="0019585A">
        <w:t>200</w:t>
      </w:r>
      <w:r w:rsidRPr="00555173">
        <w:t xml:space="preserve"> cajas de polipropileno para el almacenaje </w:t>
      </w:r>
      <w:r w:rsidR="00DD2662">
        <w:t xml:space="preserve">e instalación </w:t>
      </w:r>
      <w:r w:rsidRPr="00555173">
        <w:t xml:space="preserve">de los expedientes de </w:t>
      </w:r>
      <w:r w:rsidR="00DD2662">
        <w:t xml:space="preserve">la actividad sustantiva del Instituto, </w:t>
      </w:r>
      <w:r w:rsidRPr="00555173">
        <w:t>así como para la adqu</w:t>
      </w:r>
      <w:r w:rsidR="00555173" w:rsidRPr="00555173">
        <w:t>i</w:t>
      </w:r>
      <w:r w:rsidRPr="00555173">
        <w:t>sici</w:t>
      </w:r>
      <w:r w:rsidR="00555173">
        <w:t xml:space="preserve">ón </w:t>
      </w:r>
      <w:r w:rsidR="00555173" w:rsidRPr="0019585A">
        <w:t xml:space="preserve">de </w:t>
      </w:r>
      <w:r w:rsidR="0019585A" w:rsidRPr="0019585A">
        <w:t>10,000</w:t>
      </w:r>
      <w:r w:rsidRPr="0019585A">
        <w:t xml:space="preserve"> folder</w:t>
      </w:r>
      <w:r w:rsidR="00C26690" w:rsidRPr="0019585A">
        <w:t>s</w:t>
      </w:r>
      <w:r w:rsidRPr="0019585A">
        <w:t xml:space="preserve"> libre</w:t>
      </w:r>
      <w:r w:rsidR="00C26690" w:rsidRPr="0019585A">
        <w:t>s</w:t>
      </w:r>
      <w:r w:rsidRPr="0019585A">
        <w:t xml:space="preserve"> de ácido destinado</w:t>
      </w:r>
      <w:r w:rsidR="00EB6235" w:rsidRPr="0019585A">
        <w:t>s</w:t>
      </w:r>
      <w:r w:rsidRPr="0019585A">
        <w:t xml:space="preserve"> a la integraci</w:t>
      </w:r>
      <w:r w:rsidR="00555173" w:rsidRPr="0019585A">
        <w:t xml:space="preserve">ón de dichos </w:t>
      </w:r>
      <w:r w:rsidR="00DD2662" w:rsidRPr="0019585A">
        <w:t>recursos de revisión.</w:t>
      </w:r>
    </w:p>
    <w:p w14:paraId="625EE543" w14:textId="77777777" w:rsidR="00DD2662" w:rsidRDefault="00DD2662" w:rsidP="00967E67">
      <w:pPr>
        <w:rPr>
          <w:rFonts w:cs="Tahoma"/>
        </w:rPr>
      </w:pPr>
    </w:p>
    <w:p w14:paraId="4D26DC57" w14:textId="77777777" w:rsidR="00DD2662" w:rsidRPr="00DD2662" w:rsidRDefault="00DD2662" w:rsidP="00DD2662">
      <w:pPr>
        <w:rPr>
          <w:lang w:val="es-MX" w:eastAsia="es-MX"/>
        </w:rPr>
      </w:pPr>
      <w:r w:rsidRPr="00DD2662">
        <w:rPr>
          <w:noProof/>
          <w:lang w:val="es-MX" w:eastAsia="es-MX"/>
        </w:rPr>
        <w:drawing>
          <wp:anchor distT="0" distB="0" distL="114300" distR="114300" simplePos="0" relativeHeight="251745280" behindDoc="0" locked="0" layoutInCell="1" allowOverlap="1" wp14:anchorId="34AD0880" wp14:editId="6D2BD882">
            <wp:simplePos x="0" y="0"/>
            <wp:positionH relativeFrom="margin">
              <wp:align>left</wp:align>
            </wp:positionH>
            <wp:positionV relativeFrom="paragraph">
              <wp:posOffset>12065</wp:posOffset>
            </wp:positionV>
            <wp:extent cx="600075" cy="600075"/>
            <wp:effectExtent l="0" t="0" r="9525"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DD2662">
        <w:rPr>
          <w:lang w:val="es-MX" w:eastAsia="es-MX"/>
        </w:rPr>
        <w:t>De conformidad con lo establecido en el artículo 12, fracción IV de la Ley Federal de Archivos.</w:t>
      </w:r>
    </w:p>
    <w:p w14:paraId="66DFD9A2" w14:textId="30DCBFE7" w:rsidR="00DD2662" w:rsidRPr="00A177BA" w:rsidRDefault="00DD2662" w:rsidP="00DD2662">
      <w:pPr>
        <w:rPr>
          <w:lang w:val="es-MX" w:eastAsia="es-MX"/>
        </w:rPr>
      </w:pPr>
      <w:r w:rsidRPr="00DD2662">
        <w:rPr>
          <w:b/>
        </w:rPr>
        <w:t>Avance: 100%</w:t>
      </w:r>
    </w:p>
    <w:p w14:paraId="3603AFA7" w14:textId="328879DB" w:rsidR="004D55DB" w:rsidRDefault="004D55DB" w:rsidP="00B358E0">
      <w:pPr>
        <w:spacing w:line="360" w:lineRule="auto"/>
        <w:rPr>
          <w:rFonts w:ascii="Arial" w:hAnsi="Arial" w:cs="Arial"/>
          <w:highlight w:val="yellow"/>
        </w:rPr>
      </w:pPr>
    </w:p>
    <w:p w14:paraId="38B782A7" w14:textId="64EEBE9D" w:rsidR="003E391D" w:rsidRDefault="003E391D" w:rsidP="00B358E0">
      <w:pPr>
        <w:spacing w:line="360" w:lineRule="auto"/>
        <w:rPr>
          <w:rFonts w:ascii="Arial" w:hAnsi="Arial" w:cs="Arial"/>
          <w:highlight w:val="yellow"/>
        </w:rPr>
      </w:pPr>
    </w:p>
    <w:p w14:paraId="36138047" w14:textId="0A5C555E" w:rsidR="003E391D" w:rsidRDefault="003E391D" w:rsidP="00B358E0">
      <w:pPr>
        <w:spacing w:line="360" w:lineRule="auto"/>
        <w:rPr>
          <w:rFonts w:ascii="Arial" w:hAnsi="Arial" w:cs="Arial"/>
          <w:highlight w:val="yellow"/>
        </w:rPr>
      </w:pPr>
    </w:p>
    <w:p w14:paraId="1343B99D" w14:textId="77777777" w:rsidR="003E391D" w:rsidRDefault="003E391D" w:rsidP="00B358E0">
      <w:pPr>
        <w:spacing w:line="360" w:lineRule="auto"/>
        <w:rPr>
          <w:rFonts w:ascii="Arial" w:hAnsi="Arial" w:cs="Arial"/>
          <w:highlight w:val="yellow"/>
        </w:rPr>
      </w:pPr>
    </w:p>
    <w:p w14:paraId="36E61C0E" w14:textId="77777777" w:rsidR="00390F9A" w:rsidRPr="00D55559" w:rsidRDefault="00390F9A" w:rsidP="00B358E0">
      <w:pPr>
        <w:spacing w:line="360" w:lineRule="auto"/>
        <w:rPr>
          <w:rFonts w:ascii="Arial" w:hAnsi="Arial" w:cs="Arial"/>
          <w:highlight w:val="yellow"/>
        </w:rPr>
      </w:pPr>
    </w:p>
    <w:p w14:paraId="55731BA3" w14:textId="320715F7" w:rsidR="00B358E0" w:rsidRPr="00493768" w:rsidRDefault="00493768" w:rsidP="00C26690">
      <w:pPr>
        <w:pStyle w:val="Ttulo2"/>
      </w:pPr>
      <w:bookmarkStart w:id="26" w:name="_Toc25709548"/>
      <w:r w:rsidRPr="00493768">
        <w:lastRenderedPageBreak/>
        <w:t xml:space="preserve">1.5 </w:t>
      </w:r>
      <w:r w:rsidR="00B358E0" w:rsidRPr="00493768">
        <w:t>I</w:t>
      </w:r>
      <w:r w:rsidR="00BA2851">
        <w:t>NFORMES</w:t>
      </w:r>
      <w:bookmarkEnd w:id="26"/>
    </w:p>
    <w:p w14:paraId="3BF81322" w14:textId="77777777" w:rsidR="00B358E0" w:rsidRPr="00D55559" w:rsidRDefault="00B358E0" w:rsidP="002C21B3">
      <w:pPr>
        <w:spacing w:line="360" w:lineRule="auto"/>
        <w:rPr>
          <w:rFonts w:ascii="Arial" w:hAnsi="Arial" w:cs="Arial"/>
          <w:highlight w:val="yellow"/>
        </w:rPr>
      </w:pPr>
    </w:p>
    <w:p w14:paraId="019E1222" w14:textId="46119F2E" w:rsidR="009C02F4" w:rsidRDefault="003C6A42" w:rsidP="000011C0">
      <w:pPr>
        <w:pStyle w:val="Ttulo3"/>
      </w:pPr>
      <w:bookmarkStart w:id="27" w:name="_Toc25709549"/>
      <w:r w:rsidRPr="0057792B">
        <w:t>1.5</w:t>
      </w:r>
      <w:r w:rsidR="009C02F4" w:rsidRPr="0057792B">
        <w:t>A Ela</w:t>
      </w:r>
      <w:r w:rsidR="0057792B" w:rsidRPr="0057792B">
        <w:t>borar y presentar al Comité de Valoración Documental</w:t>
      </w:r>
      <w:r w:rsidR="009C02F4" w:rsidRPr="0057792B">
        <w:t xml:space="preserve"> el Informe anual de cumplimiento del Plan Anual </w:t>
      </w:r>
      <w:r w:rsidR="00C31462" w:rsidRPr="0057792B">
        <w:t>de Desarrollo Archivístico 201</w:t>
      </w:r>
      <w:r w:rsidR="0057792B" w:rsidRPr="0057792B">
        <w:t>8</w:t>
      </w:r>
      <w:bookmarkEnd w:id="27"/>
    </w:p>
    <w:p w14:paraId="0BFD1E2B" w14:textId="77777777" w:rsidR="00493768" w:rsidRPr="0057792B" w:rsidRDefault="00493768" w:rsidP="00BD460A">
      <w:pPr>
        <w:spacing w:line="360" w:lineRule="auto"/>
        <w:rPr>
          <w:rFonts w:ascii="Arial" w:hAnsi="Arial" w:cs="Arial"/>
          <w:b/>
        </w:rPr>
      </w:pPr>
    </w:p>
    <w:p w14:paraId="282A61F8" w14:textId="083AE237" w:rsidR="009C02F4" w:rsidRPr="0057792B" w:rsidRDefault="00A65B17" w:rsidP="00BA2851">
      <w:r w:rsidRPr="0057792B">
        <w:t xml:space="preserve">Se elaboró y presentó </w:t>
      </w:r>
      <w:r w:rsidR="007B6B92" w:rsidRPr="0057792B">
        <w:t xml:space="preserve">al Comité de </w:t>
      </w:r>
      <w:r w:rsidR="0057792B" w:rsidRPr="0057792B">
        <w:t>Valoración Documental</w:t>
      </w:r>
      <w:r w:rsidR="007B6B92" w:rsidRPr="0057792B">
        <w:t xml:space="preserve"> </w:t>
      </w:r>
      <w:r w:rsidRPr="0057792B">
        <w:t xml:space="preserve">el </w:t>
      </w:r>
      <w:r w:rsidR="00EA7140" w:rsidRPr="0057792B">
        <w:t>Informe anual de cumplimiento del Plan Anual de Desarrollo Archivístico 201</w:t>
      </w:r>
      <w:r w:rsidR="0057792B" w:rsidRPr="0057792B">
        <w:t>8</w:t>
      </w:r>
      <w:r w:rsidR="001C047D" w:rsidRPr="0057792B">
        <w:t>,</w:t>
      </w:r>
      <w:r w:rsidR="00524167" w:rsidRPr="0057792B">
        <w:t xml:space="preserve"> el cual</w:t>
      </w:r>
      <w:r w:rsidR="001C047D" w:rsidRPr="0057792B">
        <w:t xml:space="preserve"> fue aprobado </w:t>
      </w:r>
      <w:r w:rsidR="00017BAF" w:rsidRPr="0057792B">
        <w:t xml:space="preserve">en </w:t>
      </w:r>
      <w:r w:rsidR="0057792B" w:rsidRPr="0057792B">
        <w:t>Primera Sesión Ordinaria 2019, celebrada en fecha 5 de marzo de 2019</w:t>
      </w:r>
      <w:r w:rsidR="00017BAF" w:rsidRPr="0057792B">
        <w:t xml:space="preserve"> </w:t>
      </w:r>
      <w:r w:rsidR="001C047D" w:rsidRPr="0057792B">
        <w:t xml:space="preserve">mediante </w:t>
      </w:r>
      <w:r w:rsidR="0057792B" w:rsidRPr="0057792B">
        <w:t xml:space="preserve">Acuerdo </w:t>
      </w:r>
      <w:r w:rsidR="0057792B" w:rsidRPr="00B20830">
        <w:t>CVD-05/03/2019.0</w:t>
      </w:r>
      <w:r w:rsidR="00B20830" w:rsidRPr="00B20830">
        <w:t>4</w:t>
      </w:r>
      <w:r w:rsidR="007B6B92" w:rsidRPr="00B20830">
        <w:t>.</w:t>
      </w:r>
    </w:p>
    <w:p w14:paraId="7CFD22BC" w14:textId="77777777" w:rsidR="007B6B92" w:rsidRPr="0057792B" w:rsidRDefault="007B6B92" w:rsidP="009C02F4">
      <w:pPr>
        <w:spacing w:line="360" w:lineRule="auto"/>
        <w:rPr>
          <w:rFonts w:ascii="Arial" w:hAnsi="Arial" w:cs="Arial"/>
        </w:rPr>
      </w:pPr>
    </w:p>
    <w:p w14:paraId="5EBFD8A8" w14:textId="26AD2BFB" w:rsidR="0057792B" w:rsidRPr="00B20830" w:rsidRDefault="0057792B" w:rsidP="0057792B">
      <w:pPr>
        <w:spacing w:line="360" w:lineRule="auto"/>
        <w:ind w:left="1416"/>
        <w:rPr>
          <w:rFonts w:ascii="Arial" w:hAnsi="Arial" w:cs="Arial"/>
          <w:color w:val="000000" w:themeColor="text1"/>
          <w:lang w:val="es-MX" w:eastAsia="es-MX"/>
        </w:rPr>
      </w:pPr>
      <w:r w:rsidRPr="00B20830">
        <w:rPr>
          <w:noProof/>
          <w:color w:val="000000" w:themeColor="text1"/>
          <w:lang w:val="es-MX" w:eastAsia="es-MX"/>
        </w:rPr>
        <w:drawing>
          <wp:anchor distT="0" distB="0" distL="114300" distR="114300" simplePos="0" relativeHeight="251724800" behindDoc="0" locked="0" layoutInCell="1" allowOverlap="1" wp14:anchorId="50958DA9" wp14:editId="14686424">
            <wp:simplePos x="0" y="0"/>
            <wp:positionH relativeFrom="margin">
              <wp:align>left</wp:align>
            </wp:positionH>
            <wp:positionV relativeFrom="paragraph">
              <wp:posOffset>12065</wp:posOffset>
            </wp:positionV>
            <wp:extent cx="600075" cy="600075"/>
            <wp:effectExtent l="0" t="0" r="9525" b="952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B20830">
        <w:rPr>
          <w:rFonts w:ascii="Arial" w:hAnsi="Arial" w:cs="Arial"/>
          <w:color w:val="000000" w:themeColor="text1"/>
          <w:lang w:val="es-MX" w:eastAsia="es-MX"/>
        </w:rPr>
        <w:t>De conformidad con lo establecido en el artículo 12, fracción VI de la Ley Federal de Archivos.</w:t>
      </w:r>
    </w:p>
    <w:p w14:paraId="00E79D98" w14:textId="4EA0D6A4" w:rsidR="0057792B" w:rsidRPr="00A177BA" w:rsidRDefault="0057792B" w:rsidP="0057792B">
      <w:pPr>
        <w:spacing w:line="360" w:lineRule="auto"/>
        <w:ind w:left="1416"/>
        <w:rPr>
          <w:rFonts w:ascii="Arial" w:hAnsi="Arial" w:cs="Arial"/>
          <w:color w:val="000000" w:themeColor="text1"/>
          <w:lang w:val="es-MX" w:eastAsia="es-MX"/>
        </w:rPr>
      </w:pPr>
      <w:r w:rsidRPr="00B20830">
        <w:rPr>
          <w:rFonts w:ascii="Arial" w:hAnsi="Arial" w:cs="Arial"/>
          <w:b/>
          <w:color w:val="000000" w:themeColor="text1"/>
        </w:rPr>
        <w:t>Avance: 100%</w:t>
      </w:r>
    </w:p>
    <w:p w14:paraId="40414A1E" w14:textId="64EF68D5" w:rsidR="00017BAF" w:rsidRDefault="00017BAF" w:rsidP="002C21B3">
      <w:pPr>
        <w:spacing w:line="360" w:lineRule="auto"/>
        <w:rPr>
          <w:rFonts w:ascii="Arial" w:hAnsi="Arial" w:cs="Arial"/>
          <w:highlight w:val="yellow"/>
        </w:rPr>
      </w:pPr>
    </w:p>
    <w:p w14:paraId="470A6555" w14:textId="65FCE0ED" w:rsidR="0057792B" w:rsidRPr="0057792B" w:rsidRDefault="0057792B" w:rsidP="000011C0">
      <w:pPr>
        <w:pStyle w:val="Ttulo3"/>
      </w:pPr>
      <w:bookmarkStart w:id="28" w:name="_Toc25709550"/>
      <w:r w:rsidRPr="0057792B">
        <w:t>1.5B Elaborar y presentar al Comité de Transparencia el Informe anual de cumplimiento del Plan Anual de Desarrollo Archivístico 201</w:t>
      </w:r>
      <w:r w:rsidR="00C26690">
        <w:t>8</w:t>
      </w:r>
      <w:bookmarkEnd w:id="28"/>
    </w:p>
    <w:p w14:paraId="65BCFA48" w14:textId="77777777" w:rsidR="00BA2851" w:rsidRDefault="00BA2851" w:rsidP="0057792B">
      <w:pPr>
        <w:spacing w:line="360" w:lineRule="auto"/>
        <w:rPr>
          <w:rFonts w:ascii="Arial" w:hAnsi="Arial" w:cs="Arial"/>
        </w:rPr>
      </w:pPr>
    </w:p>
    <w:p w14:paraId="74DE44B8" w14:textId="1E52B380" w:rsidR="0057792B" w:rsidRPr="0057792B" w:rsidRDefault="0057792B" w:rsidP="00BA2851">
      <w:r w:rsidRPr="0057792B">
        <w:t>Se elaboró y presentó al Comité de Transparencia el Informe anual de cumplimiento del Plan Anual de Desarrollo Archivístico 2018, el cual fue aprobado en la Quinta Sesión Extraordinaria de fecha 4 de abril de 2018 mediante ACUERDO EXT-OT-05/CT/04/04/2019.03.</w:t>
      </w:r>
    </w:p>
    <w:p w14:paraId="0DFF34B1" w14:textId="77777777" w:rsidR="0057792B" w:rsidRPr="0057792B" w:rsidRDefault="0057792B" w:rsidP="0057792B">
      <w:pPr>
        <w:spacing w:line="360" w:lineRule="auto"/>
        <w:rPr>
          <w:rFonts w:ascii="Arial" w:hAnsi="Arial" w:cs="Arial"/>
        </w:rPr>
      </w:pPr>
    </w:p>
    <w:p w14:paraId="129528DE" w14:textId="3C0334D9" w:rsidR="0057792B" w:rsidRPr="0057792B" w:rsidRDefault="0057792B" w:rsidP="00DD2662">
      <w:pPr>
        <w:rPr>
          <w:lang w:val="es-MX" w:eastAsia="es-MX"/>
        </w:rPr>
      </w:pPr>
      <w:r w:rsidRPr="006D4FB0">
        <w:rPr>
          <w:noProof/>
          <w:lang w:val="es-MX" w:eastAsia="es-MX"/>
        </w:rPr>
        <w:drawing>
          <wp:anchor distT="0" distB="0" distL="114300" distR="114300" simplePos="0" relativeHeight="251726848" behindDoc="0" locked="0" layoutInCell="1" allowOverlap="1" wp14:anchorId="5F1310F0" wp14:editId="797DA691">
            <wp:simplePos x="0" y="0"/>
            <wp:positionH relativeFrom="margin">
              <wp:align>left</wp:align>
            </wp:positionH>
            <wp:positionV relativeFrom="paragraph">
              <wp:posOffset>12065</wp:posOffset>
            </wp:positionV>
            <wp:extent cx="600075" cy="600075"/>
            <wp:effectExtent l="0" t="0" r="9525" b="9525"/>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6D4FB0">
        <w:rPr>
          <w:lang w:val="es-MX" w:eastAsia="es-MX"/>
        </w:rPr>
        <w:t>De conformidad con lo establecido en el artículo 12, fracción VI de la Ley Federal de Archivos.</w:t>
      </w:r>
    </w:p>
    <w:p w14:paraId="7F4D99D2" w14:textId="4ED34A43" w:rsidR="0057792B" w:rsidRPr="00A177BA" w:rsidRDefault="0057792B" w:rsidP="00DD2662">
      <w:pPr>
        <w:rPr>
          <w:lang w:val="es-MX" w:eastAsia="es-MX"/>
        </w:rPr>
      </w:pPr>
      <w:r w:rsidRPr="0057792B">
        <w:rPr>
          <w:b/>
        </w:rPr>
        <w:t xml:space="preserve">Avance: </w:t>
      </w:r>
      <w:r>
        <w:rPr>
          <w:b/>
        </w:rPr>
        <w:t>10</w:t>
      </w:r>
      <w:r w:rsidRPr="0057792B">
        <w:rPr>
          <w:b/>
        </w:rPr>
        <w:t>0%</w:t>
      </w:r>
    </w:p>
    <w:p w14:paraId="4F95A32C" w14:textId="2C79B623" w:rsidR="0057792B" w:rsidRDefault="0057792B" w:rsidP="002C21B3">
      <w:pPr>
        <w:spacing w:line="360" w:lineRule="auto"/>
        <w:rPr>
          <w:rFonts w:ascii="Arial" w:hAnsi="Arial" w:cs="Arial"/>
          <w:highlight w:val="yellow"/>
        </w:rPr>
      </w:pPr>
    </w:p>
    <w:p w14:paraId="19BD955B" w14:textId="77777777" w:rsidR="00DD2662" w:rsidRDefault="00DD2662" w:rsidP="002C21B3">
      <w:pPr>
        <w:spacing w:line="360" w:lineRule="auto"/>
        <w:rPr>
          <w:rFonts w:ascii="Arial" w:hAnsi="Arial" w:cs="Arial"/>
          <w:highlight w:val="yellow"/>
        </w:rPr>
      </w:pPr>
    </w:p>
    <w:p w14:paraId="7E0F2738" w14:textId="5C435628" w:rsidR="007B6B92" w:rsidRPr="009060F7" w:rsidRDefault="003C6A42" w:rsidP="000011C0">
      <w:pPr>
        <w:pStyle w:val="Ttulo3"/>
      </w:pPr>
      <w:bookmarkStart w:id="29" w:name="_Toc25709551"/>
      <w:r w:rsidRPr="009060F7">
        <w:t>1.5</w:t>
      </w:r>
      <w:r w:rsidR="0057792B" w:rsidRPr="009060F7">
        <w:t>C</w:t>
      </w:r>
      <w:r w:rsidR="007B6B92" w:rsidRPr="009060F7">
        <w:t xml:space="preserve"> Informar a la Comisión Permanente de Gestión Documental y Archivos del INAI, los acuerdos de b</w:t>
      </w:r>
      <w:r w:rsidR="00C31462" w:rsidRPr="009060F7">
        <w:t>aja documental emitidos en 201</w:t>
      </w:r>
      <w:r w:rsidRPr="009060F7">
        <w:t>8</w:t>
      </w:r>
      <w:bookmarkEnd w:id="29"/>
    </w:p>
    <w:p w14:paraId="1E4D3492" w14:textId="77777777" w:rsidR="00C26690" w:rsidRPr="009060F7" w:rsidRDefault="00C26690" w:rsidP="00C26690"/>
    <w:p w14:paraId="056F21EB" w14:textId="09EE0CE8" w:rsidR="008F4D7E" w:rsidRPr="009060F7" w:rsidRDefault="008F4D7E" w:rsidP="003D2F06">
      <w:pPr>
        <w:spacing w:line="360" w:lineRule="auto"/>
        <w:rPr>
          <w:rFonts w:ascii="Arial" w:hAnsi="Arial" w:cs="Arial"/>
        </w:rPr>
      </w:pPr>
      <w:r w:rsidRPr="009060F7">
        <w:rPr>
          <w:rFonts w:ascii="Arial" w:hAnsi="Arial" w:cs="Arial"/>
        </w:rPr>
        <w:lastRenderedPageBreak/>
        <w:t xml:space="preserve">Durante </w:t>
      </w:r>
      <w:r w:rsidR="00390F9A" w:rsidRPr="009060F7">
        <w:rPr>
          <w:rFonts w:ascii="Arial" w:hAnsi="Arial" w:cs="Arial"/>
        </w:rPr>
        <w:t>la Primera Sesión Ordinaria 2019</w:t>
      </w:r>
      <w:r w:rsidRPr="009060F7">
        <w:rPr>
          <w:rFonts w:ascii="Arial" w:hAnsi="Arial" w:cs="Arial"/>
        </w:rPr>
        <w:t xml:space="preserve"> de la Comisión Permanente de Gestión Documental y Ar</w:t>
      </w:r>
      <w:r w:rsidR="00390F9A" w:rsidRPr="009060F7">
        <w:rPr>
          <w:rFonts w:ascii="Arial" w:hAnsi="Arial" w:cs="Arial"/>
        </w:rPr>
        <w:t>chivos del INAI, celebrada el 2 de octubre de 2019</w:t>
      </w:r>
      <w:r w:rsidRPr="009060F7">
        <w:rPr>
          <w:rFonts w:ascii="Arial" w:hAnsi="Arial" w:cs="Arial"/>
        </w:rPr>
        <w:t xml:space="preserve">, se </w:t>
      </w:r>
      <w:r w:rsidR="009060F7" w:rsidRPr="009060F7">
        <w:rPr>
          <w:rFonts w:ascii="Arial" w:hAnsi="Arial" w:cs="Arial"/>
        </w:rPr>
        <w:t>presentó el Informe Anual 2018</w:t>
      </w:r>
      <w:r w:rsidR="003D2F06" w:rsidRPr="009060F7">
        <w:rPr>
          <w:rFonts w:ascii="Arial" w:hAnsi="Arial" w:cs="Arial"/>
        </w:rPr>
        <w:t xml:space="preserve"> del Comité de Valoración Documental del INAI y los acuerdos de baja documental, tomado sus integrantes conocimiento del mismo.</w:t>
      </w:r>
    </w:p>
    <w:p w14:paraId="63A04676" w14:textId="49973B47" w:rsidR="007B6B92" w:rsidRPr="009060F7" w:rsidRDefault="007B6B92" w:rsidP="007B6B92">
      <w:pPr>
        <w:spacing w:line="360" w:lineRule="auto"/>
        <w:rPr>
          <w:rFonts w:ascii="Arial" w:hAnsi="Arial" w:cs="Arial"/>
        </w:rPr>
      </w:pPr>
    </w:p>
    <w:p w14:paraId="0912DBBB" w14:textId="16E6B86D" w:rsidR="0057792B" w:rsidRPr="009060F7" w:rsidRDefault="0057792B" w:rsidP="0057792B">
      <w:pPr>
        <w:spacing w:line="360" w:lineRule="auto"/>
        <w:ind w:left="1416"/>
        <w:rPr>
          <w:rFonts w:ascii="Arial" w:hAnsi="Arial" w:cs="Arial"/>
          <w:color w:val="000000" w:themeColor="text1"/>
          <w:lang w:val="es-MX" w:eastAsia="es-MX"/>
        </w:rPr>
      </w:pPr>
      <w:r w:rsidRPr="009060F7">
        <w:rPr>
          <w:noProof/>
          <w:color w:val="000000" w:themeColor="text1"/>
          <w:lang w:val="es-MX" w:eastAsia="es-MX"/>
        </w:rPr>
        <w:drawing>
          <wp:anchor distT="0" distB="0" distL="114300" distR="114300" simplePos="0" relativeHeight="251728896" behindDoc="0" locked="0" layoutInCell="1" allowOverlap="1" wp14:anchorId="77A9557B" wp14:editId="364154FB">
            <wp:simplePos x="0" y="0"/>
            <wp:positionH relativeFrom="margin">
              <wp:align>left</wp:align>
            </wp:positionH>
            <wp:positionV relativeFrom="paragraph">
              <wp:posOffset>12065</wp:posOffset>
            </wp:positionV>
            <wp:extent cx="600075" cy="600075"/>
            <wp:effectExtent l="0" t="0" r="9525" b="9525"/>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9060F7">
        <w:rPr>
          <w:rFonts w:ascii="Arial" w:hAnsi="Arial" w:cs="Arial"/>
          <w:color w:val="000000" w:themeColor="text1"/>
          <w:lang w:val="es-MX" w:eastAsia="es-MX"/>
        </w:rPr>
        <w:t xml:space="preserve">De conformidad con lo establecido en el artículo </w:t>
      </w:r>
      <w:r w:rsidR="00CB34D0" w:rsidRPr="009060F7">
        <w:rPr>
          <w:rFonts w:ascii="Arial" w:hAnsi="Arial" w:cs="Arial"/>
          <w:color w:val="000000" w:themeColor="text1"/>
          <w:lang w:val="es-MX" w:eastAsia="es-MX"/>
        </w:rPr>
        <w:t>4</w:t>
      </w:r>
      <w:r w:rsidRPr="009060F7">
        <w:rPr>
          <w:rFonts w:ascii="Arial" w:hAnsi="Arial" w:cs="Arial"/>
          <w:color w:val="000000" w:themeColor="text1"/>
          <w:lang w:val="es-MX" w:eastAsia="es-MX"/>
        </w:rPr>
        <w:t xml:space="preserve">, fracción </w:t>
      </w:r>
      <w:r w:rsidR="00CB34D0" w:rsidRPr="009060F7">
        <w:rPr>
          <w:rFonts w:ascii="Arial" w:hAnsi="Arial" w:cs="Arial"/>
          <w:color w:val="000000" w:themeColor="text1"/>
          <w:lang w:val="es-MX" w:eastAsia="es-MX"/>
        </w:rPr>
        <w:t>X</w:t>
      </w:r>
      <w:r w:rsidRPr="009060F7">
        <w:rPr>
          <w:rFonts w:ascii="Arial" w:hAnsi="Arial" w:cs="Arial"/>
          <w:color w:val="000000" w:themeColor="text1"/>
          <w:lang w:val="es-MX" w:eastAsia="es-MX"/>
        </w:rPr>
        <w:t xml:space="preserve"> del</w:t>
      </w:r>
      <w:r w:rsidR="00CB34D0" w:rsidRPr="009060F7">
        <w:rPr>
          <w:rFonts w:ascii="Arial" w:hAnsi="Arial" w:cs="Arial"/>
          <w:color w:val="000000" w:themeColor="text1"/>
          <w:lang w:val="es-MX" w:eastAsia="es-MX"/>
        </w:rPr>
        <w:t xml:space="preserve"> Reglamento de Operación del Comité de Valoración Documental</w:t>
      </w:r>
      <w:r w:rsidRPr="009060F7">
        <w:rPr>
          <w:rFonts w:ascii="Arial" w:hAnsi="Arial" w:cs="Arial"/>
          <w:color w:val="000000" w:themeColor="text1"/>
          <w:lang w:val="es-MX" w:eastAsia="es-MX"/>
        </w:rPr>
        <w:t>.</w:t>
      </w:r>
    </w:p>
    <w:p w14:paraId="33845B24" w14:textId="4DA67F3B" w:rsidR="0057792B" w:rsidRPr="009060F7" w:rsidRDefault="0057792B" w:rsidP="0057792B">
      <w:pPr>
        <w:spacing w:line="360" w:lineRule="auto"/>
        <w:ind w:left="1416"/>
        <w:rPr>
          <w:rFonts w:ascii="Arial" w:hAnsi="Arial" w:cs="Arial"/>
          <w:color w:val="000000" w:themeColor="text1"/>
          <w:lang w:val="es-MX" w:eastAsia="es-MX"/>
        </w:rPr>
      </w:pPr>
      <w:r w:rsidRPr="009060F7">
        <w:rPr>
          <w:rFonts w:ascii="Arial" w:hAnsi="Arial" w:cs="Arial"/>
          <w:b/>
          <w:color w:val="000000" w:themeColor="text1"/>
        </w:rPr>
        <w:t xml:space="preserve">Avance: </w:t>
      </w:r>
      <w:r w:rsidR="009060F7" w:rsidRPr="009060F7">
        <w:rPr>
          <w:rFonts w:ascii="Arial" w:hAnsi="Arial" w:cs="Arial"/>
          <w:b/>
          <w:color w:val="000000" w:themeColor="text1"/>
        </w:rPr>
        <w:t>10</w:t>
      </w:r>
      <w:r w:rsidRPr="009060F7">
        <w:rPr>
          <w:rFonts w:ascii="Arial" w:hAnsi="Arial" w:cs="Arial"/>
          <w:b/>
          <w:color w:val="000000" w:themeColor="text1"/>
        </w:rPr>
        <w:t>0%</w:t>
      </w:r>
    </w:p>
    <w:p w14:paraId="28DCACB3" w14:textId="0C659869" w:rsidR="0057792B" w:rsidRPr="009060F7" w:rsidRDefault="0057792B" w:rsidP="007B6B92">
      <w:pPr>
        <w:spacing w:line="360" w:lineRule="auto"/>
        <w:rPr>
          <w:rFonts w:ascii="Arial" w:hAnsi="Arial" w:cs="Arial"/>
          <w:b/>
        </w:rPr>
      </w:pPr>
    </w:p>
    <w:p w14:paraId="0BAFF222" w14:textId="77777777" w:rsidR="009060F7" w:rsidRPr="00CB34D0" w:rsidRDefault="009060F7" w:rsidP="007B6B92">
      <w:pPr>
        <w:spacing w:line="360" w:lineRule="auto"/>
        <w:rPr>
          <w:rFonts w:ascii="Arial" w:hAnsi="Arial" w:cs="Arial"/>
          <w:b/>
          <w:highlight w:val="yellow"/>
        </w:rPr>
      </w:pPr>
    </w:p>
    <w:p w14:paraId="3987815B" w14:textId="23A7E0E8" w:rsidR="007B6B92" w:rsidRPr="009060F7" w:rsidRDefault="007B6B92" w:rsidP="000011C0">
      <w:pPr>
        <w:pStyle w:val="Ttulo3"/>
      </w:pPr>
      <w:bookmarkStart w:id="30" w:name="_Toc25709552"/>
      <w:r w:rsidRPr="009060F7">
        <w:t>1.6C Presentar ante el Pleno y la Comisión Permanente de Gestión Documental y Archivos los informes anuales correspondientes al Comité de Valoración Documental</w:t>
      </w:r>
      <w:bookmarkEnd w:id="30"/>
    </w:p>
    <w:p w14:paraId="374F7B15" w14:textId="77777777" w:rsidR="00FA5FE4" w:rsidRPr="009060F7" w:rsidRDefault="00FA5FE4" w:rsidP="00FA5FE4"/>
    <w:p w14:paraId="21426035" w14:textId="3D384C56" w:rsidR="007B6B92" w:rsidRPr="009060F7" w:rsidRDefault="006608AC" w:rsidP="007B6B92">
      <w:pPr>
        <w:spacing w:line="360" w:lineRule="auto"/>
        <w:rPr>
          <w:rFonts w:ascii="Arial" w:hAnsi="Arial" w:cs="Arial"/>
        </w:rPr>
      </w:pPr>
      <w:r w:rsidRPr="009060F7">
        <w:rPr>
          <w:rFonts w:ascii="Arial" w:hAnsi="Arial" w:cs="Arial"/>
        </w:rPr>
        <w:t>Durante</w:t>
      </w:r>
      <w:r w:rsidR="00316F39" w:rsidRPr="009060F7">
        <w:rPr>
          <w:rFonts w:ascii="Arial" w:hAnsi="Arial" w:cs="Arial"/>
        </w:rPr>
        <w:t xml:space="preserve"> la Sesión del Pleno del INAI celebrada en fecha </w:t>
      </w:r>
      <w:r w:rsidR="009060F7" w:rsidRPr="009060F7">
        <w:rPr>
          <w:rFonts w:ascii="Arial" w:hAnsi="Arial" w:cs="Arial"/>
        </w:rPr>
        <w:t>27 de marzo de 2019</w:t>
      </w:r>
      <w:r w:rsidR="00316F39" w:rsidRPr="009060F7">
        <w:rPr>
          <w:rFonts w:ascii="Arial" w:hAnsi="Arial" w:cs="Arial"/>
        </w:rPr>
        <w:t>, se presentó el “</w:t>
      </w:r>
      <w:r w:rsidR="009060F7" w:rsidRPr="009060F7">
        <w:rPr>
          <w:rFonts w:ascii="Arial" w:hAnsi="Arial" w:cs="Arial"/>
        </w:rPr>
        <w:t>Informe Anual del Comité de Valoración Documental 2018”.</w:t>
      </w:r>
    </w:p>
    <w:p w14:paraId="6BAC766D" w14:textId="0BECEADB" w:rsidR="00CB34D0" w:rsidRPr="009060F7" w:rsidRDefault="00CB34D0" w:rsidP="00CB34D0">
      <w:pPr>
        <w:spacing w:line="360" w:lineRule="auto"/>
        <w:ind w:left="1416"/>
        <w:rPr>
          <w:rFonts w:ascii="Arial" w:hAnsi="Arial" w:cs="Arial"/>
          <w:color w:val="000000" w:themeColor="text1"/>
          <w:lang w:val="es-MX" w:eastAsia="es-MX"/>
        </w:rPr>
      </w:pPr>
      <w:r w:rsidRPr="009060F7">
        <w:rPr>
          <w:noProof/>
          <w:color w:val="000000" w:themeColor="text1"/>
          <w:lang w:val="es-MX" w:eastAsia="es-MX"/>
        </w:rPr>
        <w:drawing>
          <wp:anchor distT="0" distB="0" distL="114300" distR="114300" simplePos="0" relativeHeight="251730944" behindDoc="0" locked="0" layoutInCell="1" allowOverlap="1" wp14:anchorId="7BF89EB5" wp14:editId="0BED75ED">
            <wp:simplePos x="0" y="0"/>
            <wp:positionH relativeFrom="margin">
              <wp:align>left</wp:align>
            </wp:positionH>
            <wp:positionV relativeFrom="paragraph">
              <wp:posOffset>12065</wp:posOffset>
            </wp:positionV>
            <wp:extent cx="600075" cy="600075"/>
            <wp:effectExtent l="0" t="0" r="9525" b="952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9060F7">
        <w:rPr>
          <w:rFonts w:ascii="Arial" w:hAnsi="Arial" w:cs="Arial"/>
          <w:color w:val="000000" w:themeColor="text1"/>
          <w:lang w:val="es-MX" w:eastAsia="es-MX"/>
        </w:rPr>
        <w:t xml:space="preserve"> De conformidad con lo establecido en el artículo 4, fracción VI del Reglamento de Operación del Comité de Valoración Documental.</w:t>
      </w:r>
    </w:p>
    <w:p w14:paraId="52481BE6" w14:textId="1652579A" w:rsidR="00CB34D0" w:rsidRPr="009060F7" w:rsidRDefault="00CB34D0" w:rsidP="00CB34D0">
      <w:pPr>
        <w:spacing w:line="360" w:lineRule="auto"/>
        <w:ind w:left="1416"/>
        <w:rPr>
          <w:rFonts w:ascii="Arial" w:hAnsi="Arial" w:cs="Arial"/>
          <w:color w:val="000000" w:themeColor="text1"/>
          <w:lang w:val="es-MX" w:eastAsia="es-MX"/>
        </w:rPr>
      </w:pPr>
      <w:r w:rsidRPr="009060F7">
        <w:rPr>
          <w:rFonts w:ascii="Arial" w:hAnsi="Arial" w:cs="Arial"/>
          <w:b/>
          <w:color w:val="000000" w:themeColor="text1"/>
        </w:rPr>
        <w:t xml:space="preserve">Avance: </w:t>
      </w:r>
      <w:r w:rsidR="00A9738F">
        <w:rPr>
          <w:rFonts w:ascii="Arial" w:hAnsi="Arial" w:cs="Arial"/>
          <w:b/>
          <w:color w:val="000000" w:themeColor="text1"/>
        </w:rPr>
        <w:t>10</w:t>
      </w:r>
      <w:r w:rsidRPr="009060F7">
        <w:rPr>
          <w:rFonts w:ascii="Arial" w:hAnsi="Arial" w:cs="Arial"/>
          <w:b/>
          <w:color w:val="000000" w:themeColor="text1"/>
        </w:rPr>
        <w:t>0%</w:t>
      </w:r>
    </w:p>
    <w:p w14:paraId="109CFEEA" w14:textId="2F7B4127" w:rsidR="003E391D" w:rsidRDefault="003E391D">
      <w:pPr>
        <w:spacing w:after="200"/>
        <w:jc w:val="left"/>
        <w:rPr>
          <w:rFonts w:ascii="Arial" w:hAnsi="Arial" w:cs="Arial"/>
          <w:b/>
          <w:sz w:val="28"/>
          <w:szCs w:val="28"/>
          <w:u w:val="single"/>
        </w:rPr>
      </w:pPr>
      <w:r>
        <w:rPr>
          <w:rFonts w:ascii="Arial" w:hAnsi="Arial" w:cs="Arial"/>
          <w:b/>
          <w:sz w:val="28"/>
          <w:szCs w:val="28"/>
          <w:u w:val="single"/>
        </w:rPr>
        <w:br w:type="page"/>
      </w:r>
    </w:p>
    <w:p w14:paraId="14F5728C" w14:textId="0AC49BC9" w:rsidR="00475AEE" w:rsidRDefault="00475AEE" w:rsidP="00C26690">
      <w:pPr>
        <w:pStyle w:val="Ttulo1"/>
      </w:pPr>
      <w:bookmarkStart w:id="31" w:name="_Toc25709553"/>
      <w:r w:rsidRPr="00737834">
        <w:lastRenderedPageBreak/>
        <w:t>Programa 2: Plan de digitalización de documentos</w:t>
      </w:r>
      <w:bookmarkEnd w:id="31"/>
    </w:p>
    <w:p w14:paraId="33992E62" w14:textId="77777777" w:rsidR="00C26690" w:rsidRPr="00C26690" w:rsidRDefault="00C26690" w:rsidP="00C26690"/>
    <w:p w14:paraId="3B8C1B30" w14:textId="2F5AC7FF" w:rsidR="00AF1B72" w:rsidRPr="00BA2851" w:rsidRDefault="00BA2851" w:rsidP="0007340E">
      <w:pPr>
        <w:pStyle w:val="Ttulo2"/>
      </w:pPr>
      <w:bookmarkStart w:id="32" w:name="_Toc25709554"/>
      <w:r w:rsidRPr="00BA2851">
        <w:t>2</w:t>
      </w:r>
      <w:r w:rsidR="00E4686E" w:rsidRPr="00BA2851">
        <w:t>.1 DIGITALIZACIÓN DE DOCUMENTOS</w:t>
      </w:r>
      <w:bookmarkEnd w:id="32"/>
    </w:p>
    <w:p w14:paraId="320D7DCD" w14:textId="7D30158F" w:rsidR="00C26690" w:rsidRPr="00E4686E" w:rsidRDefault="00C26690" w:rsidP="00C26690"/>
    <w:p w14:paraId="1E9680B3" w14:textId="6FE7FE23" w:rsidR="00BA2851" w:rsidRPr="00E4686E" w:rsidRDefault="00AF1B72" w:rsidP="000011C0">
      <w:pPr>
        <w:pStyle w:val="Ttulo3"/>
      </w:pPr>
      <w:bookmarkStart w:id="33" w:name="_Toc25709555"/>
      <w:r w:rsidRPr="00E4686E">
        <w:t>2.1A Contratación de un servicio de digitalización de los expedientes de recursos de revisión que incluya la carga de la información</w:t>
      </w:r>
      <w:r w:rsidR="00C31462" w:rsidRPr="00E4686E">
        <w:t xml:space="preserve"> en los sistemas D-Mx y D-Mx-OA</w:t>
      </w:r>
      <w:bookmarkEnd w:id="33"/>
    </w:p>
    <w:p w14:paraId="2D795C1D" w14:textId="77777777" w:rsidR="006F6C4B" w:rsidRDefault="006F6C4B" w:rsidP="006F6C4B"/>
    <w:p w14:paraId="40B0E192" w14:textId="1A9F3035" w:rsidR="006F6C4B" w:rsidRPr="0038256B" w:rsidRDefault="006F6C4B" w:rsidP="006F6C4B">
      <w:r w:rsidRPr="00E17B9D">
        <w:t>En el ejercicio 2019</w:t>
      </w:r>
      <w:r w:rsidR="009060F7">
        <w:t xml:space="preserve"> se realizó la </w:t>
      </w:r>
      <w:r w:rsidRPr="00E17B9D">
        <w:t>contratación d</w:t>
      </w:r>
      <w:r w:rsidR="009060F7">
        <w:t>e un</w:t>
      </w:r>
      <w:r>
        <w:t xml:space="preserve"> servicio de digitalización, </w:t>
      </w:r>
      <w:r w:rsidRPr="00E17B9D">
        <w:t>cosido</w:t>
      </w:r>
      <w:r>
        <w:t xml:space="preserve"> y carga en el Sistema de Gestión Documental GD-Mx</w:t>
      </w:r>
      <w:r w:rsidRPr="00E17B9D">
        <w:t xml:space="preserve"> de los expedientes de l</w:t>
      </w:r>
      <w:r>
        <w:t>os recursos de revisión producidos en</w:t>
      </w:r>
      <w:r w:rsidRPr="00E17B9D">
        <w:t xml:space="preserve"> los años 2012 y 2013</w:t>
      </w:r>
      <w:r>
        <w:t xml:space="preserve"> bajo resguardo</w:t>
      </w:r>
      <w:r w:rsidRPr="00E17B9D">
        <w:t xml:space="preserve"> Archivo de Concentración del INAI</w:t>
      </w:r>
      <w:r w:rsidR="009060F7">
        <w:t>. L</w:t>
      </w:r>
      <w:r>
        <w:t>o anterior con el propósito de habilitar la consulta electrónica y conservación de estos expedientes a través de dicha herramienta, ésta última tarea fue realizada con el apoyo de la Dirección General de Tecnología de la Información.</w:t>
      </w:r>
    </w:p>
    <w:p w14:paraId="3F81C5E8" w14:textId="77777777" w:rsidR="00AF1B72" w:rsidRPr="00D55559" w:rsidRDefault="00AF1B72" w:rsidP="00AF1B72">
      <w:pPr>
        <w:spacing w:line="360" w:lineRule="auto"/>
        <w:rPr>
          <w:rFonts w:ascii="Arial" w:hAnsi="Arial" w:cs="Arial"/>
          <w:b/>
          <w:highlight w:val="yellow"/>
        </w:rPr>
      </w:pPr>
    </w:p>
    <w:p w14:paraId="0294EC16" w14:textId="097E38D6" w:rsidR="007E2F20" w:rsidRPr="00E4686E" w:rsidRDefault="007E2F20" w:rsidP="00737834">
      <w:pPr>
        <w:rPr>
          <w:lang w:val="es-MX" w:eastAsia="es-MX"/>
        </w:rPr>
      </w:pPr>
      <w:r w:rsidRPr="00E4686E">
        <w:rPr>
          <w:noProof/>
          <w:lang w:val="es-MX" w:eastAsia="es-MX"/>
        </w:rPr>
        <w:drawing>
          <wp:anchor distT="0" distB="0" distL="114300" distR="114300" simplePos="0" relativeHeight="251732992" behindDoc="0" locked="0" layoutInCell="1" allowOverlap="1" wp14:anchorId="5AF4F328" wp14:editId="02213674">
            <wp:simplePos x="0" y="0"/>
            <wp:positionH relativeFrom="margin">
              <wp:align>left</wp:align>
            </wp:positionH>
            <wp:positionV relativeFrom="paragraph">
              <wp:posOffset>12065</wp:posOffset>
            </wp:positionV>
            <wp:extent cx="600075" cy="600075"/>
            <wp:effectExtent l="0" t="0" r="9525" b="9525"/>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E4686E">
        <w:rPr>
          <w:lang w:val="es-MX" w:eastAsia="es-MX"/>
        </w:rPr>
        <w:t>De conformidad con lo establecido en el artículo 4, fracción VI del Reglamento de Operación del Comité de Valoración Documental.</w:t>
      </w:r>
    </w:p>
    <w:p w14:paraId="2631AE35" w14:textId="1C147AA6" w:rsidR="007E2F20" w:rsidRPr="00A177BA" w:rsidRDefault="00737834" w:rsidP="00737834">
      <w:pPr>
        <w:spacing w:line="360" w:lineRule="auto"/>
        <w:rPr>
          <w:rFonts w:ascii="Arial" w:hAnsi="Arial" w:cs="Arial"/>
          <w:color w:val="000000" w:themeColor="text1"/>
          <w:lang w:val="es-MX" w:eastAsia="es-MX"/>
        </w:rPr>
      </w:pPr>
      <w:r w:rsidRPr="00E4686E">
        <w:rPr>
          <w:rFonts w:ascii="Arial" w:hAnsi="Arial" w:cs="Arial"/>
          <w:b/>
          <w:color w:val="000000" w:themeColor="text1"/>
        </w:rPr>
        <w:t>Avance: 100</w:t>
      </w:r>
      <w:r w:rsidR="007E2F20" w:rsidRPr="00E4686E">
        <w:rPr>
          <w:rFonts w:ascii="Arial" w:hAnsi="Arial" w:cs="Arial"/>
          <w:b/>
          <w:color w:val="000000" w:themeColor="text1"/>
        </w:rPr>
        <w:t>%</w:t>
      </w:r>
    </w:p>
    <w:p w14:paraId="345EC863" w14:textId="44FD63CD" w:rsidR="00475AEE" w:rsidRDefault="00475AEE" w:rsidP="004325E3">
      <w:pPr>
        <w:spacing w:line="360" w:lineRule="auto"/>
        <w:rPr>
          <w:rFonts w:ascii="Arial" w:hAnsi="Arial" w:cs="Arial"/>
          <w:b/>
          <w:highlight w:val="yellow"/>
        </w:rPr>
      </w:pPr>
    </w:p>
    <w:p w14:paraId="47EA8544" w14:textId="5CD732A2" w:rsidR="003E391D" w:rsidRDefault="003E391D">
      <w:pPr>
        <w:spacing w:after="200"/>
        <w:jc w:val="left"/>
        <w:rPr>
          <w:rFonts w:ascii="Arial" w:hAnsi="Arial" w:cs="Arial"/>
          <w:b/>
          <w:highlight w:val="yellow"/>
        </w:rPr>
      </w:pPr>
      <w:r>
        <w:rPr>
          <w:rFonts w:ascii="Arial" w:hAnsi="Arial" w:cs="Arial"/>
          <w:b/>
          <w:highlight w:val="yellow"/>
        </w:rPr>
        <w:br w:type="page"/>
      </w:r>
    </w:p>
    <w:p w14:paraId="2E11DA90" w14:textId="61E7D25F" w:rsidR="00475AEE" w:rsidRPr="003E391D" w:rsidRDefault="00475AEE" w:rsidP="00C26690">
      <w:pPr>
        <w:pStyle w:val="Ttulo1"/>
      </w:pPr>
      <w:bookmarkStart w:id="34" w:name="_Toc25709556"/>
      <w:r w:rsidRPr="003E391D">
        <w:lastRenderedPageBreak/>
        <w:t>Programa 3: Programa de preservación digital</w:t>
      </w:r>
      <w:bookmarkEnd w:id="34"/>
    </w:p>
    <w:p w14:paraId="157E7CFA" w14:textId="77777777" w:rsidR="00475AEE" w:rsidRPr="003E391D" w:rsidRDefault="00475AEE" w:rsidP="004325E3">
      <w:pPr>
        <w:spacing w:line="360" w:lineRule="auto"/>
        <w:rPr>
          <w:rFonts w:ascii="Arial" w:hAnsi="Arial" w:cs="Arial"/>
          <w:b/>
          <w:sz w:val="28"/>
          <w:szCs w:val="28"/>
          <w:u w:val="single"/>
        </w:rPr>
      </w:pPr>
    </w:p>
    <w:p w14:paraId="46AC0E54" w14:textId="30C0FD2A" w:rsidR="00402AA3" w:rsidRPr="003E391D" w:rsidRDefault="00737834" w:rsidP="00E4686E">
      <w:pPr>
        <w:pStyle w:val="Ttulo2"/>
      </w:pPr>
      <w:bookmarkStart w:id="35" w:name="_Toc25709557"/>
      <w:r w:rsidRPr="003E391D">
        <w:t xml:space="preserve">3.1 </w:t>
      </w:r>
      <w:r w:rsidR="00D75D4F" w:rsidRPr="003E391D">
        <w:t>MIGRACIÓN DE INFORMACIÓN</w:t>
      </w:r>
      <w:bookmarkEnd w:id="35"/>
    </w:p>
    <w:p w14:paraId="51AE8D66" w14:textId="77777777" w:rsidR="00402AA3" w:rsidRPr="003E391D" w:rsidRDefault="00402AA3" w:rsidP="00402AA3">
      <w:pPr>
        <w:spacing w:line="360" w:lineRule="auto"/>
        <w:rPr>
          <w:rFonts w:ascii="Arial" w:hAnsi="Arial" w:cs="Arial"/>
        </w:rPr>
      </w:pPr>
    </w:p>
    <w:p w14:paraId="30735693" w14:textId="2B785275" w:rsidR="00402AA3" w:rsidRPr="003E391D" w:rsidRDefault="00AC3139" w:rsidP="000011C0">
      <w:pPr>
        <w:pStyle w:val="Ttulo3"/>
      </w:pPr>
      <w:bookmarkStart w:id="36" w:name="_Toc25709558"/>
      <w:r w:rsidRPr="003E391D">
        <w:t>3</w:t>
      </w:r>
      <w:r w:rsidR="00402AA3" w:rsidRPr="003E391D">
        <w:t xml:space="preserve">.1A </w:t>
      </w:r>
      <w:r w:rsidR="007E2F20" w:rsidRPr="003E391D">
        <w:t>Continuar con la actividad de m</w:t>
      </w:r>
      <w:r w:rsidRPr="003E391D">
        <w:t>igra</w:t>
      </w:r>
      <w:r w:rsidR="007E2F20" w:rsidRPr="003E391D">
        <w:t>ción de</w:t>
      </w:r>
      <w:r w:rsidRPr="003E391D">
        <w:t xml:space="preserve"> información al GD-Mx</w:t>
      </w:r>
      <w:bookmarkEnd w:id="36"/>
    </w:p>
    <w:p w14:paraId="4A5E68E3" w14:textId="42D7C9A6" w:rsidR="00737834" w:rsidRPr="003E391D" w:rsidRDefault="003E391D" w:rsidP="00737834">
      <w:r w:rsidRPr="003E391D">
        <w:t>Toda vez que el proyecto inicial contemplaba realizar la descripción automatizada de los expedientes de recursos de revisión desde la información cargada en el Sistema de Gestión de Medios de Impugnación (SIGEMI), se acordó reprogramarlo para el año 2020 y en su lugar, llevar a cabo el desarrollo de un aplicativo que permita conocer el avance en la implementación de la Ley General de Archivos en los órganos garantes y sujetos obligados que lo requieran.</w:t>
      </w:r>
    </w:p>
    <w:p w14:paraId="28FFBC88" w14:textId="77777777" w:rsidR="00402AA3" w:rsidRPr="003E391D" w:rsidRDefault="00402AA3" w:rsidP="00402AA3">
      <w:pPr>
        <w:spacing w:line="360" w:lineRule="auto"/>
        <w:rPr>
          <w:rFonts w:ascii="Arial" w:hAnsi="Arial" w:cs="Arial"/>
        </w:rPr>
      </w:pPr>
    </w:p>
    <w:p w14:paraId="5947B314" w14:textId="02EF060C" w:rsidR="007E2F20" w:rsidRPr="003E391D" w:rsidRDefault="007E2F20" w:rsidP="007E2F20">
      <w:pPr>
        <w:spacing w:line="360" w:lineRule="auto"/>
        <w:ind w:left="1416"/>
        <w:rPr>
          <w:rFonts w:ascii="Arial" w:hAnsi="Arial" w:cs="Arial"/>
          <w:color w:val="000000" w:themeColor="text1"/>
          <w:lang w:val="es-MX" w:eastAsia="es-MX"/>
        </w:rPr>
      </w:pPr>
      <w:r w:rsidRPr="003E391D">
        <w:rPr>
          <w:noProof/>
          <w:color w:val="000000" w:themeColor="text1"/>
          <w:lang w:val="es-MX" w:eastAsia="es-MX"/>
        </w:rPr>
        <w:drawing>
          <wp:anchor distT="0" distB="0" distL="114300" distR="114300" simplePos="0" relativeHeight="251735040" behindDoc="0" locked="0" layoutInCell="1" allowOverlap="1" wp14:anchorId="63217373" wp14:editId="1556DF8B">
            <wp:simplePos x="0" y="0"/>
            <wp:positionH relativeFrom="margin">
              <wp:align>left</wp:align>
            </wp:positionH>
            <wp:positionV relativeFrom="paragraph">
              <wp:posOffset>12065</wp:posOffset>
            </wp:positionV>
            <wp:extent cx="600075" cy="600075"/>
            <wp:effectExtent l="0" t="0" r="9525" b="9525"/>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3E391D">
        <w:rPr>
          <w:rFonts w:ascii="Arial" w:hAnsi="Arial" w:cs="Arial"/>
          <w:color w:val="000000" w:themeColor="text1"/>
          <w:lang w:val="es-MX" w:eastAsia="es-MX"/>
        </w:rPr>
        <w:t>De conformidad con lo establecido en el artículo 12, fracción VIII de la Ley Federal de Archivos.</w:t>
      </w:r>
    </w:p>
    <w:p w14:paraId="2EADF875" w14:textId="5832DE6E" w:rsidR="007E2F20" w:rsidRPr="00A177BA" w:rsidRDefault="007E2F20" w:rsidP="007E2F20">
      <w:pPr>
        <w:spacing w:line="360" w:lineRule="auto"/>
        <w:ind w:left="1416"/>
        <w:rPr>
          <w:rFonts w:ascii="Arial" w:hAnsi="Arial" w:cs="Arial"/>
          <w:color w:val="000000" w:themeColor="text1"/>
          <w:lang w:val="es-MX" w:eastAsia="es-MX"/>
        </w:rPr>
      </w:pPr>
      <w:r w:rsidRPr="003E391D">
        <w:rPr>
          <w:rFonts w:ascii="Arial" w:hAnsi="Arial" w:cs="Arial"/>
          <w:b/>
          <w:color w:val="000000" w:themeColor="text1"/>
        </w:rPr>
        <w:t xml:space="preserve">Avance: </w:t>
      </w:r>
      <w:r w:rsidR="003E391D">
        <w:rPr>
          <w:rFonts w:ascii="Arial" w:hAnsi="Arial" w:cs="Arial"/>
          <w:b/>
          <w:color w:val="000000" w:themeColor="text1"/>
        </w:rPr>
        <w:t>10</w:t>
      </w:r>
      <w:r w:rsidRPr="003E391D">
        <w:rPr>
          <w:rFonts w:ascii="Arial" w:hAnsi="Arial" w:cs="Arial"/>
          <w:b/>
          <w:color w:val="000000" w:themeColor="text1"/>
        </w:rPr>
        <w:t>0%</w:t>
      </w:r>
    </w:p>
    <w:p w14:paraId="2837CBFE" w14:textId="1380C09D" w:rsidR="004D6C8C" w:rsidRDefault="004D6C8C" w:rsidP="004D6C8C">
      <w:pPr>
        <w:pStyle w:val="Prrafodelista"/>
        <w:spacing w:line="360" w:lineRule="auto"/>
        <w:ind w:left="792"/>
        <w:jc w:val="center"/>
        <w:rPr>
          <w:rFonts w:ascii="Arial" w:hAnsi="Arial" w:cs="Arial"/>
          <w:b/>
        </w:rPr>
      </w:pPr>
    </w:p>
    <w:p w14:paraId="4D6A1197" w14:textId="481D7299" w:rsidR="003E391D" w:rsidRDefault="003E391D" w:rsidP="004D6C8C">
      <w:pPr>
        <w:pStyle w:val="Prrafodelista"/>
        <w:spacing w:line="360" w:lineRule="auto"/>
        <w:ind w:left="792"/>
        <w:jc w:val="center"/>
        <w:rPr>
          <w:rFonts w:ascii="Arial" w:hAnsi="Arial" w:cs="Arial"/>
          <w:b/>
        </w:rPr>
      </w:pPr>
    </w:p>
    <w:p w14:paraId="2CC222F6" w14:textId="0A376EA9" w:rsidR="003E391D" w:rsidRDefault="003E391D" w:rsidP="004D6C8C">
      <w:pPr>
        <w:pStyle w:val="Prrafodelista"/>
        <w:spacing w:line="360" w:lineRule="auto"/>
        <w:ind w:left="792"/>
        <w:jc w:val="center"/>
        <w:rPr>
          <w:rFonts w:ascii="Arial" w:hAnsi="Arial" w:cs="Arial"/>
          <w:b/>
        </w:rPr>
      </w:pPr>
    </w:p>
    <w:p w14:paraId="0B9CF9F4" w14:textId="004B4DD9" w:rsidR="003E391D" w:rsidRDefault="003E391D" w:rsidP="004D6C8C">
      <w:pPr>
        <w:pStyle w:val="Prrafodelista"/>
        <w:spacing w:line="360" w:lineRule="auto"/>
        <w:ind w:left="792"/>
        <w:jc w:val="center"/>
        <w:rPr>
          <w:rFonts w:ascii="Arial" w:hAnsi="Arial" w:cs="Arial"/>
          <w:b/>
        </w:rPr>
      </w:pPr>
    </w:p>
    <w:p w14:paraId="63F62FBB" w14:textId="66317B4C" w:rsidR="003E391D" w:rsidRDefault="003E391D" w:rsidP="004D6C8C">
      <w:pPr>
        <w:pStyle w:val="Prrafodelista"/>
        <w:spacing w:line="360" w:lineRule="auto"/>
        <w:ind w:left="792"/>
        <w:jc w:val="center"/>
        <w:rPr>
          <w:rFonts w:ascii="Arial" w:hAnsi="Arial" w:cs="Arial"/>
          <w:b/>
        </w:rPr>
      </w:pPr>
    </w:p>
    <w:p w14:paraId="1354033B" w14:textId="7EBF38EE" w:rsidR="003E391D" w:rsidRDefault="003E391D">
      <w:pPr>
        <w:spacing w:after="200"/>
        <w:jc w:val="left"/>
        <w:rPr>
          <w:rFonts w:ascii="Arial" w:hAnsi="Arial" w:cs="Arial"/>
          <w:b/>
        </w:rPr>
      </w:pPr>
      <w:r>
        <w:rPr>
          <w:rFonts w:ascii="Arial" w:hAnsi="Arial" w:cs="Arial"/>
          <w:b/>
        </w:rPr>
        <w:br w:type="page"/>
      </w:r>
    </w:p>
    <w:p w14:paraId="50E944DA" w14:textId="00D93F69" w:rsidR="00475AEE" w:rsidRDefault="00475AEE" w:rsidP="00C26690">
      <w:pPr>
        <w:pStyle w:val="Ttulo1"/>
      </w:pPr>
      <w:bookmarkStart w:id="37" w:name="_Toc25709559"/>
      <w:r w:rsidRPr="00475AEE">
        <w:lastRenderedPageBreak/>
        <w:t>Programa 4: Capacitación para los organismos garantes de las entidades federativas en el marco del SNT</w:t>
      </w:r>
      <w:bookmarkEnd w:id="37"/>
    </w:p>
    <w:p w14:paraId="29624090" w14:textId="77777777" w:rsidR="00C26690" w:rsidRPr="00C26690" w:rsidRDefault="00C26690" w:rsidP="00C26690"/>
    <w:p w14:paraId="038EDA45" w14:textId="6B6E5135" w:rsidR="004325E3" w:rsidRPr="00423BB5" w:rsidRDefault="00BA2851" w:rsidP="00C26690">
      <w:pPr>
        <w:pStyle w:val="Ttulo2"/>
      </w:pPr>
      <w:bookmarkStart w:id="38" w:name="_Toc25709560"/>
      <w:r>
        <w:t>4.1 CAPACITACIÓN</w:t>
      </w:r>
      <w:bookmarkEnd w:id="38"/>
      <w:r>
        <w:t xml:space="preserve"> </w:t>
      </w:r>
    </w:p>
    <w:p w14:paraId="1A583B80" w14:textId="77777777" w:rsidR="004325E3" w:rsidRDefault="004325E3" w:rsidP="004325E3">
      <w:pPr>
        <w:spacing w:line="360" w:lineRule="auto"/>
        <w:rPr>
          <w:rFonts w:ascii="Arial" w:hAnsi="Arial" w:cs="Arial"/>
        </w:rPr>
      </w:pPr>
    </w:p>
    <w:p w14:paraId="45EF4AF9" w14:textId="1F1B0A31" w:rsidR="004325E3" w:rsidRPr="005A73A3" w:rsidRDefault="00017BAF" w:rsidP="000011C0">
      <w:pPr>
        <w:pStyle w:val="Ttulo3"/>
      </w:pPr>
      <w:bookmarkStart w:id="39" w:name="_Toc25709561"/>
      <w:r w:rsidRPr="002F75B1">
        <w:t>4</w:t>
      </w:r>
      <w:r w:rsidR="004325E3" w:rsidRPr="002F75B1">
        <w:t>.1</w:t>
      </w:r>
      <w:r w:rsidRPr="002F75B1">
        <w:t>A</w:t>
      </w:r>
      <w:r w:rsidR="004325E3" w:rsidRPr="002F75B1">
        <w:t xml:space="preserve"> </w:t>
      </w:r>
      <w:r w:rsidR="006803F6" w:rsidRPr="002F75B1">
        <w:t>Impartir</w:t>
      </w:r>
      <w:r w:rsidR="006803F6" w:rsidRPr="006803F6">
        <w:t xml:space="preserve"> cursos de capacitación y acompañamiento a organismos garantes y sujetos obligad</w:t>
      </w:r>
      <w:r w:rsidR="00C31462">
        <w:t>os de las entidades federativas</w:t>
      </w:r>
      <w:bookmarkEnd w:id="39"/>
    </w:p>
    <w:p w14:paraId="081C06DE" w14:textId="77777777" w:rsidR="004325E3" w:rsidRDefault="004325E3" w:rsidP="004325E3">
      <w:pPr>
        <w:spacing w:line="360" w:lineRule="auto"/>
        <w:rPr>
          <w:rFonts w:ascii="Arial" w:hAnsi="Arial" w:cs="Arial"/>
          <w:b/>
        </w:rPr>
      </w:pPr>
    </w:p>
    <w:p w14:paraId="77ECCC38" w14:textId="77777777" w:rsidR="006D4FB0" w:rsidRDefault="006D4FB0" w:rsidP="006D4FB0">
      <w:r>
        <w:t>Derivado de la publicación, así como de la entrada en vigor de la Ley General de Archivos,  la Dirección General de Gestión de Información y Estudios (DGGIE)  llevó a cabo acciones de capacitación y acompañamiento a los organismos garantes y sujetos obligados de los tres órdenes de gobierno, con los temas “Principios de la gestión documental y organización de archivos”, “Gestión documental y administración de archivos” y “Principios y deberes de los sujetos obligados para el cumplimiento del marco normativo en materia de gestión documental y administración de archivos”.</w:t>
      </w:r>
    </w:p>
    <w:p w14:paraId="52638005" w14:textId="77777777" w:rsidR="006D4FB0" w:rsidRDefault="006D4FB0" w:rsidP="006D4FB0"/>
    <w:p w14:paraId="4E332D70" w14:textId="77777777" w:rsidR="006D4FB0" w:rsidRDefault="006D4FB0" w:rsidP="006D4FB0">
      <w:r>
        <w:t>Cabe señalar, que los eventos de acompañamiento a organismos garantes, se realizaron en el marco del Sistema Nacional de Transparencia (SNT), en el que la Dirección General de Vinculación, Coordinación y Colaboración con Entidades Federativas, funge como enlace para establecer las sedes, en función de las solicitudes que presentan los órganos garantes, de tal forma que, en el año 2019 se proporcionaron asesorías a un total de 8 organismos garantes y un aproximado de 1560 asistentes.</w:t>
      </w:r>
    </w:p>
    <w:p w14:paraId="1C62F190" w14:textId="77777777" w:rsidR="006D4FB0" w:rsidRDefault="006D4FB0" w:rsidP="006D4FB0"/>
    <w:p w14:paraId="263CF245" w14:textId="688AAC73" w:rsidR="006D4FB0" w:rsidRDefault="003E391D" w:rsidP="006D4FB0">
      <w:r>
        <w:t xml:space="preserve">Por otra parte, </w:t>
      </w:r>
      <w:r w:rsidR="006D4FB0">
        <w:t xml:space="preserve">la DGGIE </w:t>
      </w:r>
      <w:r>
        <w:t xml:space="preserve">a través de </w:t>
      </w:r>
      <w:r w:rsidR="006D4FB0">
        <w:t>la Dirección General de Capacitación, impartió de manera presencial 9 cursos a sujetos obligados en materia de gestión documental y administración de archivos, con la finalidad de replicar la implementación de los Sistemas Institucionales de Archivos (SIA), así como para que éstos den cumplimiento a las obligaciones establecidas en la Ley General de Archivos, dichas capacitaciones se realizaron en los meses de abril a octubre.</w:t>
      </w:r>
    </w:p>
    <w:p w14:paraId="0B2714D7" w14:textId="77777777" w:rsidR="006D4FB0" w:rsidRDefault="006D4FB0" w:rsidP="006D4FB0"/>
    <w:p w14:paraId="1F67D015" w14:textId="77777777" w:rsidR="00390F9A" w:rsidRPr="007D729E" w:rsidRDefault="00390F9A" w:rsidP="00390F9A">
      <w:r w:rsidRPr="007D729E">
        <w:t>Asimismo, se informa que se atendieron solicitudes de asesoría en materia de archivo para los siguientes sujetos obligados:</w:t>
      </w:r>
    </w:p>
    <w:p w14:paraId="6CA679BC" w14:textId="77777777" w:rsidR="00390F9A" w:rsidRDefault="00390F9A" w:rsidP="00390F9A">
      <w:pPr>
        <w:rPr>
          <w:highlight w:val="yellow"/>
        </w:rPr>
      </w:pPr>
    </w:p>
    <w:tbl>
      <w:tblPr>
        <w:tblStyle w:val="Tabladecuadrcula4-nfasis4"/>
        <w:tblpPr w:leftFromText="141" w:rightFromText="141" w:vertAnchor="text" w:tblpXSpec="center"/>
        <w:tblW w:w="6941" w:type="dxa"/>
        <w:tblLook w:val="04A0" w:firstRow="1" w:lastRow="0" w:firstColumn="1" w:lastColumn="0" w:noHBand="0" w:noVBand="1"/>
      </w:tblPr>
      <w:tblGrid>
        <w:gridCol w:w="4390"/>
        <w:gridCol w:w="2551"/>
      </w:tblGrid>
      <w:tr w:rsidR="00390F9A" w:rsidRPr="002728F2" w14:paraId="38F8EE24" w14:textId="77777777" w:rsidTr="00C7175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tcPr>
          <w:p w14:paraId="499925C5" w14:textId="77777777" w:rsidR="00390F9A" w:rsidRPr="002728F2" w:rsidRDefault="00390F9A" w:rsidP="00C71751">
            <w:pPr>
              <w:jc w:val="center"/>
              <w:rPr>
                <w:rFonts w:cs="Tahoma"/>
                <w:sz w:val="22"/>
                <w:szCs w:val="20"/>
              </w:rPr>
            </w:pPr>
            <w:r w:rsidRPr="002728F2">
              <w:rPr>
                <w:rFonts w:cs="Tahoma"/>
                <w:sz w:val="22"/>
                <w:szCs w:val="20"/>
              </w:rPr>
              <w:lastRenderedPageBreak/>
              <w:t>Nombre</w:t>
            </w:r>
          </w:p>
        </w:tc>
        <w:tc>
          <w:tcPr>
            <w:tcW w:w="2551" w:type="dxa"/>
            <w:noWrap/>
          </w:tcPr>
          <w:p w14:paraId="134AD5CE" w14:textId="77777777" w:rsidR="00390F9A" w:rsidRPr="002728F2" w:rsidRDefault="00390F9A" w:rsidP="00C71751">
            <w:pPr>
              <w:cnfStyle w:val="100000000000" w:firstRow="1" w:lastRow="0" w:firstColumn="0" w:lastColumn="0" w:oddVBand="0" w:evenVBand="0" w:oddHBand="0" w:evenHBand="0" w:firstRowFirstColumn="0" w:firstRowLastColumn="0" w:lastRowFirstColumn="0" w:lastRowLastColumn="0"/>
              <w:rPr>
                <w:rFonts w:cs="Tahoma"/>
                <w:sz w:val="22"/>
                <w:szCs w:val="20"/>
              </w:rPr>
            </w:pPr>
            <w:r w:rsidRPr="002728F2">
              <w:rPr>
                <w:rFonts w:cs="Tahoma"/>
                <w:sz w:val="22"/>
                <w:szCs w:val="20"/>
              </w:rPr>
              <w:t>Fecha de la actividad</w:t>
            </w:r>
          </w:p>
        </w:tc>
      </w:tr>
      <w:tr w:rsidR="00390F9A" w:rsidRPr="002728F2" w14:paraId="587EDE2C" w14:textId="77777777" w:rsidTr="00C71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tcPr>
          <w:p w14:paraId="40D4BEA8" w14:textId="77777777" w:rsidR="00390F9A" w:rsidRPr="00923724" w:rsidRDefault="00390F9A" w:rsidP="00C71751">
            <w:pPr>
              <w:pStyle w:val="Prrafodelista"/>
              <w:numPr>
                <w:ilvl w:val="0"/>
                <w:numId w:val="27"/>
              </w:numPr>
              <w:rPr>
                <w:rFonts w:cs="Tahoma"/>
                <w:b w:val="0"/>
                <w:sz w:val="22"/>
                <w:szCs w:val="20"/>
              </w:rPr>
            </w:pPr>
            <w:r w:rsidRPr="00923724">
              <w:rPr>
                <w:rFonts w:cs="Tahoma"/>
                <w:b w:val="0"/>
                <w:sz w:val="22"/>
                <w:szCs w:val="20"/>
              </w:rPr>
              <w:t>Gerencia de Control y Seguimiento del INFONAVIT</w:t>
            </w:r>
          </w:p>
        </w:tc>
        <w:tc>
          <w:tcPr>
            <w:tcW w:w="2551" w:type="dxa"/>
            <w:noWrap/>
          </w:tcPr>
          <w:p w14:paraId="3CA31C3B" w14:textId="77777777" w:rsidR="00390F9A" w:rsidRPr="002728F2" w:rsidRDefault="00390F9A" w:rsidP="00C71751">
            <w:pPr>
              <w:cnfStyle w:val="000000100000" w:firstRow="0" w:lastRow="0" w:firstColumn="0" w:lastColumn="0" w:oddVBand="0" w:evenVBand="0" w:oddHBand="1" w:evenHBand="0" w:firstRowFirstColumn="0" w:firstRowLastColumn="0" w:lastRowFirstColumn="0" w:lastRowLastColumn="0"/>
              <w:rPr>
                <w:rFonts w:cs="Tahoma"/>
                <w:sz w:val="22"/>
                <w:szCs w:val="20"/>
              </w:rPr>
            </w:pPr>
            <w:r w:rsidRPr="002728F2">
              <w:rPr>
                <w:rFonts w:cs="Tahoma"/>
                <w:sz w:val="22"/>
                <w:szCs w:val="20"/>
              </w:rPr>
              <w:t>16 de agosto de 2019</w:t>
            </w:r>
          </w:p>
        </w:tc>
      </w:tr>
      <w:tr w:rsidR="00390F9A" w:rsidRPr="002728F2" w14:paraId="7DCC0066" w14:textId="77777777" w:rsidTr="00C71751">
        <w:trPr>
          <w:trHeight w:val="300"/>
        </w:trPr>
        <w:tc>
          <w:tcPr>
            <w:cnfStyle w:val="001000000000" w:firstRow="0" w:lastRow="0" w:firstColumn="1" w:lastColumn="0" w:oddVBand="0" w:evenVBand="0" w:oddHBand="0" w:evenHBand="0" w:firstRowFirstColumn="0" w:firstRowLastColumn="0" w:lastRowFirstColumn="0" w:lastRowLastColumn="0"/>
            <w:tcW w:w="4390" w:type="dxa"/>
            <w:noWrap/>
          </w:tcPr>
          <w:p w14:paraId="161E168D" w14:textId="77777777" w:rsidR="00390F9A" w:rsidRPr="00923724" w:rsidRDefault="00390F9A" w:rsidP="00C71751">
            <w:pPr>
              <w:pStyle w:val="Prrafodelista"/>
              <w:numPr>
                <w:ilvl w:val="0"/>
                <w:numId w:val="27"/>
              </w:numPr>
              <w:rPr>
                <w:rFonts w:cs="Tahoma"/>
                <w:b w:val="0"/>
                <w:sz w:val="22"/>
                <w:szCs w:val="20"/>
              </w:rPr>
            </w:pPr>
            <w:r w:rsidRPr="00923724">
              <w:rPr>
                <w:rFonts w:cs="Tahoma"/>
                <w:b w:val="0"/>
                <w:sz w:val="22"/>
                <w:szCs w:val="20"/>
              </w:rPr>
              <w:t>Sindicato Independiente de Trabajadores del Colegio de Postgraduados</w:t>
            </w:r>
          </w:p>
        </w:tc>
        <w:tc>
          <w:tcPr>
            <w:tcW w:w="2551" w:type="dxa"/>
            <w:noWrap/>
          </w:tcPr>
          <w:p w14:paraId="1B53ED86" w14:textId="77777777" w:rsidR="00390F9A" w:rsidRPr="002728F2" w:rsidRDefault="00390F9A" w:rsidP="00C71751">
            <w:pPr>
              <w:cnfStyle w:val="000000000000" w:firstRow="0" w:lastRow="0" w:firstColumn="0" w:lastColumn="0" w:oddVBand="0" w:evenVBand="0" w:oddHBand="0" w:evenHBand="0" w:firstRowFirstColumn="0" w:firstRowLastColumn="0" w:lastRowFirstColumn="0" w:lastRowLastColumn="0"/>
              <w:rPr>
                <w:rFonts w:cs="Tahoma"/>
                <w:sz w:val="22"/>
                <w:szCs w:val="20"/>
              </w:rPr>
            </w:pPr>
            <w:r w:rsidRPr="002728F2">
              <w:rPr>
                <w:rFonts w:cs="Tahoma"/>
                <w:sz w:val="22"/>
                <w:szCs w:val="20"/>
              </w:rPr>
              <w:t>15 de octubre de 2019</w:t>
            </w:r>
          </w:p>
        </w:tc>
      </w:tr>
      <w:tr w:rsidR="00390F9A" w:rsidRPr="002728F2" w14:paraId="665965CE" w14:textId="77777777" w:rsidTr="00C717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390" w:type="dxa"/>
            <w:noWrap/>
          </w:tcPr>
          <w:p w14:paraId="16383747" w14:textId="77777777" w:rsidR="00390F9A" w:rsidRPr="00923724" w:rsidRDefault="00390F9A" w:rsidP="00C71751">
            <w:pPr>
              <w:pStyle w:val="Prrafodelista"/>
              <w:numPr>
                <w:ilvl w:val="0"/>
                <w:numId w:val="27"/>
              </w:numPr>
              <w:rPr>
                <w:rFonts w:cs="Tahoma"/>
                <w:b w:val="0"/>
                <w:sz w:val="22"/>
                <w:szCs w:val="20"/>
              </w:rPr>
            </w:pPr>
            <w:r w:rsidRPr="00923724">
              <w:rPr>
                <w:rFonts w:cs="Tahoma"/>
                <w:b w:val="0"/>
                <w:sz w:val="22"/>
                <w:szCs w:val="20"/>
              </w:rPr>
              <w:t>Sindicato de Trabajadores Electricistas de la República Mexicana</w:t>
            </w:r>
          </w:p>
        </w:tc>
        <w:tc>
          <w:tcPr>
            <w:tcW w:w="2551" w:type="dxa"/>
            <w:noWrap/>
          </w:tcPr>
          <w:p w14:paraId="05AD59C4" w14:textId="77777777" w:rsidR="00390F9A" w:rsidRPr="002728F2" w:rsidRDefault="00390F9A" w:rsidP="00C71751">
            <w:pPr>
              <w:cnfStyle w:val="000000100000" w:firstRow="0" w:lastRow="0" w:firstColumn="0" w:lastColumn="0" w:oddVBand="0" w:evenVBand="0" w:oddHBand="1" w:evenHBand="0" w:firstRowFirstColumn="0" w:firstRowLastColumn="0" w:lastRowFirstColumn="0" w:lastRowLastColumn="0"/>
              <w:rPr>
                <w:rFonts w:cs="Tahoma"/>
                <w:sz w:val="22"/>
                <w:szCs w:val="20"/>
              </w:rPr>
            </w:pPr>
            <w:r w:rsidRPr="002728F2">
              <w:rPr>
                <w:rFonts w:cs="Tahoma"/>
                <w:sz w:val="22"/>
                <w:szCs w:val="20"/>
              </w:rPr>
              <w:t>17 de octubre de 2019</w:t>
            </w:r>
          </w:p>
        </w:tc>
      </w:tr>
    </w:tbl>
    <w:p w14:paraId="1F13ED88" w14:textId="77777777" w:rsidR="00390F9A" w:rsidRDefault="00390F9A" w:rsidP="00390F9A">
      <w:pPr>
        <w:spacing w:line="360" w:lineRule="auto"/>
        <w:rPr>
          <w:rFonts w:ascii="Arial" w:hAnsi="Arial" w:cs="Arial"/>
          <w:highlight w:val="yellow"/>
        </w:rPr>
      </w:pPr>
    </w:p>
    <w:p w14:paraId="5A8C3094" w14:textId="77777777" w:rsidR="00390F9A" w:rsidRDefault="00390F9A" w:rsidP="00390F9A">
      <w:pPr>
        <w:spacing w:line="360" w:lineRule="auto"/>
        <w:rPr>
          <w:rFonts w:ascii="Arial" w:hAnsi="Arial" w:cs="Arial"/>
          <w:highlight w:val="yellow"/>
        </w:rPr>
      </w:pPr>
    </w:p>
    <w:p w14:paraId="4F30841E" w14:textId="77777777" w:rsidR="00390F9A" w:rsidRDefault="00390F9A" w:rsidP="00390F9A">
      <w:pPr>
        <w:spacing w:line="360" w:lineRule="auto"/>
        <w:rPr>
          <w:rFonts w:ascii="Arial" w:hAnsi="Arial" w:cs="Arial"/>
          <w:highlight w:val="yellow"/>
        </w:rPr>
      </w:pPr>
    </w:p>
    <w:p w14:paraId="13495163" w14:textId="77777777" w:rsidR="00390F9A" w:rsidRDefault="00390F9A" w:rsidP="00390F9A">
      <w:pPr>
        <w:spacing w:line="360" w:lineRule="auto"/>
        <w:rPr>
          <w:rFonts w:ascii="Arial" w:hAnsi="Arial" w:cs="Arial"/>
          <w:highlight w:val="yellow"/>
        </w:rPr>
      </w:pPr>
    </w:p>
    <w:p w14:paraId="7EC3F84F" w14:textId="77777777" w:rsidR="00390F9A" w:rsidRDefault="00390F9A" w:rsidP="00390F9A">
      <w:pPr>
        <w:spacing w:line="360" w:lineRule="auto"/>
        <w:rPr>
          <w:rFonts w:ascii="Arial" w:hAnsi="Arial" w:cs="Arial"/>
          <w:highlight w:val="yellow"/>
        </w:rPr>
      </w:pPr>
    </w:p>
    <w:p w14:paraId="3F19FB7D" w14:textId="77777777" w:rsidR="00390F9A" w:rsidRDefault="00390F9A" w:rsidP="00390F9A">
      <w:pPr>
        <w:spacing w:line="360" w:lineRule="auto"/>
        <w:rPr>
          <w:rFonts w:ascii="Arial" w:hAnsi="Arial" w:cs="Arial"/>
          <w:highlight w:val="yellow"/>
        </w:rPr>
      </w:pPr>
    </w:p>
    <w:p w14:paraId="62D1CFF0" w14:textId="77777777" w:rsidR="00390F9A" w:rsidRPr="00D55559" w:rsidRDefault="00390F9A" w:rsidP="00390F9A">
      <w:pPr>
        <w:spacing w:line="360" w:lineRule="auto"/>
        <w:rPr>
          <w:rFonts w:ascii="Arial" w:hAnsi="Arial" w:cs="Arial"/>
          <w:highlight w:val="yellow"/>
        </w:rPr>
      </w:pPr>
    </w:p>
    <w:p w14:paraId="2162B74B" w14:textId="77777777" w:rsidR="003E391D" w:rsidRDefault="003E391D" w:rsidP="003E391D">
      <w:r>
        <w:t>De todo lo anterior, se concluye que durante el año 2019 se llevaron a cabo un total de 20 asesorías en materia de gestión documental y archivos, como apoyo para la instrumentación de su Sistema Institucional de Archivo, tanto de órganos garantes estatales como de sujetos obligados de los tres órdenes de gobierno.</w:t>
      </w:r>
    </w:p>
    <w:p w14:paraId="45A9A071" w14:textId="77777777" w:rsidR="00390F9A" w:rsidRDefault="00390F9A" w:rsidP="006D4FB0"/>
    <w:p w14:paraId="200679BC" w14:textId="77777777" w:rsidR="007E2F20" w:rsidRPr="006D4FB0" w:rsidRDefault="007E2F20" w:rsidP="004767C6">
      <w:pPr>
        <w:rPr>
          <w:lang w:val="es-MX" w:eastAsia="es-MX"/>
        </w:rPr>
      </w:pPr>
      <w:r w:rsidRPr="006D4FB0">
        <w:rPr>
          <w:noProof/>
          <w:lang w:val="es-MX" w:eastAsia="es-MX"/>
        </w:rPr>
        <w:drawing>
          <wp:anchor distT="0" distB="0" distL="114300" distR="114300" simplePos="0" relativeHeight="251737088" behindDoc="0" locked="0" layoutInCell="1" allowOverlap="1" wp14:anchorId="3F7BAB19" wp14:editId="065FC350">
            <wp:simplePos x="0" y="0"/>
            <wp:positionH relativeFrom="margin">
              <wp:align>left</wp:align>
            </wp:positionH>
            <wp:positionV relativeFrom="paragraph">
              <wp:posOffset>12065</wp:posOffset>
            </wp:positionV>
            <wp:extent cx="600075" cy="600075"/>
            <wp:effectExtent l="0" t="0" r="9525"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sidRPr="006D4FB0">
        <w:rPr>
          <w:lang w:val="es-MX" w:eastAsia="es-MX"/>
        </w:rPr>
        <w:t>De conformidad con lo establecido en el artículo 12, fracción VIII de la Ley Federal de Archivos.</w:t>
      </w:r>
    </w:p>
    <w:p w14:paraId="3378E1D0" w14:textId="398DA260" w:rsidR="007E2F20" w:rsidRPr="00A177BA" w:rsidRDefault="007E2F20" w:rsidP="00563DC3">
      <w:pPr>
        <w:rPr>
          <w:lang w:val="es-MX" w:eastAsia="es-MX"/>
        </w:rPr>
      </w:pPr>
      <w:r w:rsidRPr="006D4FB0">
        <w:t xml:space="preserve">Avance: </w:t>
      </w:r>
      <w:r w:rsidR="00563DC3" w:rsidRPr="006D4FB0">
        <w:t>10</w:t>
      </w:r>
      <w:r w:rsidRPr="006D4FB0">
        <w:t>0%</w:t>
      </w:r>
    </w:p>
    <w:p w14:paraId="29937B11" w14:textId="18A6DCD4" w:rsidR="00FB5578" w:rsidRDefault="00FB5578" w:rsidP="00DD4378">
      <w:pPr>
        <w:spacing w:line="360" w:lineRule="auto"/>
        <w:rPr>
          <w:rFonts w:ascii="Arial" w:hAnsi="Arial" w:cs="Arial"/>
          <w:b/>
        </w:rPr>
      </w:pPr>
    </w:p>
    <w:sectPr w:rsidR="00FB5578" w:rsidSect="00D37D2A">
      <w:headerReference w:type="default" r:id="rId9"/>
      <w:footerReference w:type="default" r:id="rId10"/>
      <w:headerReference w:type="first" r:id="rId11"/>
      <w:pgSz w:w="12240" w:h="15840" w:code="1"/>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E6FE9" w14:textId="77777777" w:rsidR="00CA4B6E" w:rsidRDefault="00CA4B6E" w:rsidP="00FA43EF">
      <w:r>
        <w:separator/>
      </w:r>
    </w:p>
  </w:endnote>
  <w:endnote w:type="continuationSeparator" w:id="0">
    <w:p w14:paraId="046ABA7B" w14:textId="77777777" w:rsidR="00CA4B6E" w:rsidRDefault="00CA4B6E" w:rsidP="00FA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867651298"/>
      <w:docPartObj>
        <w:docPartGallery w:val="Page Numbers (Bottom of Page)"/>
        <w:docPartUnique/>
      </w:docPartObj>
    </w:sdtPr>
    <w:sdtEndPr/>
    <w:sdtContent>
      <w:p w14:paraId="28B50FCA" w14:textId="77777777" w:rsidR="005A3762" w:rsidRPr="008450D0" w:rsidRDefault="005A3762" w:rsidP="0036432B">
        <w:pPr>
          <w:pStyle w:val="Piedepgina"/>
          <w:jc w:val="left"/>
          <w:rPr>
            <w:sz w:val="22"/>
          </w:rPr>
        </w:pPr>
      </w:p>
      <w:p w14:paraId="49D90114" w14:textId="671A422D" w:rsidR="005A3762" w:rsidRPr="008450D0" w:rsidRDefault="005A3762" w:rsidP="0036432B">
        <w:pPr>
          <w:pStyle w:val="Piedepgina"/>
          <w:jc w:val="left"/>
          <w:rPr>
            <w:sz w:val="22"/>
          </w:rPr>
        </w:pPr>
        <w:r w:rsidRPr="008450D0">
          <w:rPr>
            <w:sz w:val="22"/>
          </w:rPr>
          <w:t xml:space="preserve">Informe </w:t>
        </w:r>
        <w:r>
          <w:rPr>
            <w:sz w:val="22"/>
          </w:rPr>
          <w:t xml:space="preserve">de cumplimiento </w:t>
        </w:r>
        <w:r w:rsidRPr="008450D0">
          <w:rPr>
            <w:sz w:val="22"/>
          </w:rPr>
          <w:t>del Programa Anual de Desarrollo Archivístico 2019</w:t>
        </w:r>
        <w:r w:rsidRPr="008450D0">
          <w:rPr>
            <w:sz w:val="22"/>
          </w:rPr>
          <w:tab/>
        </w:r>
        <w:r w:rsidRPr="008450D0">
          <w:rPr>
            <w:sz w:val="22"/>
          </w:rPr>
          <w:fldChar w:fldCharType="begin"/>
        </w:r>
        <w:r w:rsidRPr="008450D0">
          <w:rPr>
            <w:sz w:val="22"/>
          </w:rPr>
          <w:instrText xml:space="preserve"> PAGE   \* MERGEFORMAT </w:instrText>
        </w:r>
        <w:r w:rsidRPr="008450D0">
          <w:rPr>
            <w:sz w:val="22"/>
          </w:rPr>
          <w:fldChar w:fldCharType="separate"/>
        </w:r>
        <w:r w:rsidR="00BD0D48" w:rsidRPr="00BD0D48">
          <w:rPr>
            <w:noProof/>
          </w:rPr>
          <w:t>19</w:t>
        </w:r>
        <w:r w:rsidRPr="008450D0">
          <w:rPr>
            <w:noProof/>
            <w:sz w:val="22"/>
          </w:rPr>
          <w:fldChar w:fldCharType="end"/>
        </w:r>
      </w:p>
    </w:sdtContent>
  </w:sdt>
  <w:p w14:paraId="250B3E33" w14:textId="77777777" w:rsidR="005A3762" w:rsidRPr="00E35327" w:rsidRDefault="005A3762">
    <w:pPr>
      <w:pStyle w:val="Piedepgin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AF398" w14:textId="77777777" w:rsidR="00CA4B6E" w:rsidRDefault="00CA4B6E" w:rsidP="00FA43EF">
      <w:r>
        <w:separator/>
      </w:r>
    </w:p>
  </w:footnote>
  <w:footnote w:type="continuationSeparator" w:id="0">
    <w:p w14:paraId="449033B5" w14:textId="77777777" w:rsidR="00CA4B6E" w:rsidRDefault="00CA4B6E" w:rsidP="00FA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7CC16" w14:textId="77777777" w:rsidR="005A3762" w:rsidRPr="005F72AF" w:rsidRDefault="005A3762" w:rsidP="00B229E0">
    <w:pPr>
      <w:pStyle w:val="Encabezado"/>
      <w:jc w:val="right"/>
      <w:rPr>
        <w:rFonts w:cs="Tahoma"/>
        <w:b/>
        <w:sz w:val="22"/>
      </w:rPr>
    </w:pPr>
    <w:r w:rsidRPr="005F72AF">
      <w:rPr>
        <w:rFonts w:cs="Tahoma"/>
        <w:b/>
        <w:noProof/>
        <w:sz w:val="28"/>
        <w:szCs w:val="32"/>
        <w:lang w:val="es-MX" w:eastAsia="es-MX"/>
      </w:rPr>
      <w:drawing>
        <wp:anchor distT="0" distB="0" distL="114300" distR="114300" simplePos="0" relativeHeight="251659264" behindDoc="0" locked="0" layoutInCell="1" allowOverlap="1" wp14:anchorId="0DE881DE" wp14:editId="01C529BB">
          <wp:simplePos x="0" y="0"/>
          <wp:positionH relativeFrom="margin">
            <wp:posOffset>-299085</wp:posOffset>
          </wp:positionH>
          <wp:positionV relativeFrom="paragraph">
            <wp:posOffset>-211455</wp:posOffset>
          </wp:positionV>
          <wp:extent cx="1664970" cy="1288415"/>
          <wp:effectExtent l="0" t="0" r="0" b="6985"/>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reducción.jpg"/>
                  <pic:cNvPicPr/>
                </pic:nvPicPr>
                <pic:blipFill>
                  <a:blip r:embed="rId1">
                    <a:extLst>
                      <a:ext uri="{28A0092B-C50C-407E-A947-70E740481C1C}">
                        <a14:useLocalDpi xmlns:a14="http://schemas.microsoft.com/office/drawing/2010/main" val="0"/>
                      </a:ext>
                    </a:extLst>
                  </a:blip>
                  <a:stretch>
                    <a:fillRect/>
                  </a:stretch>
                </pic:blipFill>
                <pic:spPr>
                  <a:xfrm>
                    <a:off x="0" y="0"/>
                    <a:ext cx="1664970" cy="1288415"/>
                  </a:xfrm>
                  <a:prstGeom prst="rect">
                    <a:avLst/>
                  </a:prstGeom>
                </pic:spPr>
              </pic:pic>
            </a:graphicData>
          </a:graphic>
          <wp14:sizeRelH relativeFrom="margin">
            <wp14:pctWidth>0</wp14:pctWidth>
          </wp14:sizeRelH>
          <wp14:sizeRelV relativeFrom="margin">
            <wp14:pctHeight>0</wp14:pctHeight>
          </wp14:sizeRelV>
        </wp:anchor>
      </w:drawing>
    </w:r>
    <w:r w:rsidRPr="005F72AF">
      <w:rPr>
        <w:rFonts w:cs="Tahoma"/>
        <w:b/>
        <w:sz w:val="22"/>
      </w:rPr>
      <w:t>INSTITUTO NACIONAL DE TRANSPARENCIA, ACCESO A LA</w:t>
    </w:r>
  </w:p>
  <w:p w14:paraId="315D2057" w14:textId="77777777" w:rsidR="005A3762" w:rsidRPr="005F72AF" w:rsidRDefault="005A3762" w:rsidP="00B229E0">
    <w:pPr>
      <w:pStyle w:val="Encabezado"/>
      <w:jc w:val="right"/>
      <w:rPr>
        <w:rFonts w:cs="Tahoma"/>
        <w:b/>
        <w:sz w:val="22"/>
      </w:rPr>
    </w:pPr>
    <w:r w:rsidRPr="005F72AF">
      <w:rPr>
        <w:rFonts w:cs="Tahoma"/>
        <w:b/>
        <w:sz w:val="22"/>
      </w:rPr>
      <w:t>INFORMACIÓN Y PROTECCIÓN DE DATOS PERSONALES</w:t>
    </w:r>
  </w:p>
  <w:p w14:paraId="2B9F98FD" w14:textId="77777777" w:rsidR="005A3762" w:rsidRPr="005F72AF" w:rsidRDefault="005A3762" w:rsidP="00B229E0">
    <w:pPr>
      <w:pStyle w:val="Encabezado"/>
      <w:jc w:val="right"/>
      <w:rPr>
        <w:rFonts w:cs="Tahoma"/>
        <w:b/>
        <w:sz w:val="22"/>
      </w:rPr>
    </w:pPr>
    <w:r w:rsidRPr="005F72AF">
      <w:rPr>
        <w:rFonts w:cs="Tahoma"/>
        <w:b/>
        <w:sz w:val="22"/>
      </w:rPr>
      <w:t>SECRETARÍA EJECUTIVA</w:t>
    </w:r>
  </w:p>
  <w:p w14:paraId="7D3BB2A6" w14:textId="1FC0B503" w:rsidR="005A3762" w:rsidRDefault="005A3762" w:rsidP="00B229E0">
    <w:pPr>
      <w:pStyle w:val="Encabezado"/>
      <w:jc w:val="right"/>
      <w:rPr>
        <w:rFonts w:cs="Tahoma"/>
        <w:b/>
        <w:sz w:val="22"/>
      </w:rPr>
    </w:pPr>
    <w:r w:rsidRPr="005F72AF">
      <w:rPr>
        <w:rFonts w:cs="Tahoma"/>
        <w:b/>
        <w:sz w:val="22"/>
      </w:rPr>
      <w:t>DIRECCIÓN GENERAL DE GESTIÓN DE INFORMACIÓN Y ESTUDIOS</w:t>
    </w:r>
  </w:p>
  <w:p w14:paraId="3EECE6AB" w14:textId="77777777" w:rsidR="005E626F" w:rsidRPr="005F72AF" w:rsidRDefault="005E626F" w:rsidP="00B229E0">
    <w:pPr>
      <w:pStyle w:val="Encabezado"/>
      <w:jc w:val="right"/>
      <w:rPr>
        <w:rFonts w:cs="Tahoma"/>
        <w:b/>
        <w:noProof/>
        <w:sz w:val="28"/>
        <w:szCs w:val="32"/>
      </w:rPr>
    </w:pPr>
  </w:p>
  <w:p w14:paraId="2AB9AB53" w14:textId="77777777" w:rsidR="005A3762" w:rsidRDefault="005A3762" w:rsidP="00B229E0">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B48D" w14:textId="3AA4A0C2" w:rsidR="005A3762" w:rsidRDefault="005A3762" w:rsidP="00135E66">
    <w:pPr>
      <w:pStyle w:val="Encabezado"/>
      <w:jc w:val="center"/>
    </w:pPr>
    <w:r>
      <w:rPr>
        <w:noProof/>
        <w:lang w:val="es-MX" w:eastAsia="es-MX"/>
      </w:rPr>
      <w:drawing>
        <wp:inline distT="0" distB="0" distL="0" distR="0" wp14:anchorId="56963CEB" wp14:editId="782A1D19">
          <wp:extent cx="3362325" cy="259903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5515" cy="26092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6AF"/>
    <w:multiLevelType w:val="hybridMultilevel"/>
    <w:tmpl w:val="33D28CC4"/>
    <w:lvl w:ilvl="0" w:tplc="D10EB884">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6EC46AA"/>
    <w:multiLevelType w:val="hybridMultilevel"/>
    <w:tmpl w:val="490831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23943"/>
    <w:multiLevelType w:val="multilevel"/>
    <w:tmpl w:val="3080F678"/>
    <w:lvl w:ilvl="0">
      <w:start w:val="4"/>
      <w:numFmt w:val="decimal"/>
      <w:lvlText w:val="%1"/>
      <w:lvlJc w:val="left"/>
      <w:pPr>
        <w:ind w:left="360" w:hanging="360"/>
      </w:pPr>
      <w:rPr>
        <w:rFonts w:hint="default"/>
        <w:sz w:val="22"/>
      </w:rPr>
    </w:lvl>
    <w:lvl w:ilvl="1">
      <w:start w:val="1"/>
      <w:numFmt w:val="decimal"/>
      <w:lvlText w:val="%1.%2"/>
      <w:lvlJc w:val="left"/>
      <w:pPr>
        <w:ind w:left="1872" w:hanging="720"/>
      </w:pPr>
      <w:rPr>
        <w:rFonts w:hint="default"/>
        <w:sz w:val="28"/>
        <w:szCs w:val="28"/>
      </w:rPr>
    </w:lvl>
    <w:lvl w:ilvl="2">
      <w:start w:val="1"/>
      <w:numFmt w:val="decimal"/>
      <w:lvlText w:val="%1.%2.%3"/>
      <w:lvlJc w:val="left"/>
      <w:pPr>
        <w:ind w:left="3024" w:hanging="720"/>
      </w:pPr>
      <w:rPr>
        <w:rFonts w:hint="default"/>
        <w:sz w:val="22"/>
      </w:rPr>
    </w:lvl>
    <w:lvl w:ilvl="3">
      <w:start w:val="1"/>
      <w:numFmt w:val="decimal"/>
      <w:lvlText w:val="%1.%2.%3.%4"/>
      <w:lvlJc w:val="left"/>
      <w:pPr>
        <w:ind w:left="4536" w:hanging="1080"/>
      </w:pPr>
      <w:rPr>
        <w:rFonts w:hint="default"/>
        <w:sz w:val="22"/>
      </w:rPr>
    </w:lvl>
    <w:lvl w:ilvl="4">
      <w:start w:val="1"/>
      <w:numFmt w:val="decimal"/>
      <w:lvlText w:val="%1.%2.%3.%4.%5"/>
      <w:lvlJc w:val="left"/>
      <w:pPr>
        <w:ind w:left="6048" w:hanging="1440"/>
      </w:pPr>
      <w:rPr>
        <w:rFonts w:hint="default"/>
        <w:sz w:val="22"/>
      </w:rPr>
    </w:lvl>
    <w:lvl w:ilvl="5">
      <w:start w:val="1"/>
      <w:numFmt w:val="decimal"/>
      <w:lvlText w:val="%1.%2.%3.%4.%5.%6"/>
      <w:lvlJc w:val="left"/>
      <w:pPr>
        <w:ind w:left="7200" w:hanging="1440"/>
      </w:pPr>
      <w:rPr>
        <w:rFonts w:hint="default"/>
        <w:sz w:val="22"/>
      </w:rPr>
    </w:lvl>
    <w:lvl w:ilvl="6">
      <w:start w:val="1"/>
      <w:numFmt w:val="decimal"/>
      <w:lvlText w:val="%1.%2.%3.%4.%5.%6.%7"/>
      <w:lvlJc w:val="left"/>
      <w:pPr>
        <w:ind w:left="8712" w:hanging="1800"/>
      </w:pPr>
      <w:rPr>
        <w:rFonts w:hint="default"/>
        <w:sz w:val="22"/>
      </w:rPr>
    </w:lvl>
    <w:lvl w:ilvl="7">
      <w:start w:val="1"/>
      <w:numFmt w:val="decimal"/>
      <w:lvlText w:val="%1.%2.%3.%4.%5.%6.%7.%8"/>
      <w:lvlJc w:val="left"/>
      <w:pPr>
        <w:ind w:left="9864" w:hanging="1800"/>
      </w:pPr>
      <w:rPr>
        <w:rFonts w:hint="default"/>
        <w:sz w:val="22"/>
      </w:rPr>
    </w:lvl>
    <w:lvl w:ilvl="8">
      <w:start w:val="1"/>
      <w:numFmt w:val="decimal"/>
      <w:lvlText w:val="%1.%2.%3.%4.%5.%6.%7.%8.%9"/>
      <w:lvlJc w:val="left"/>
      <w:pPr>
        <w:ind w:left="11376" w:hanging="2160"/>
      </w:pPr>
      <w:rPr>
        <w:rFonts w:hint="default"/>
        <w:sz w:val="22"/>
      </w:rPr>
    </w:lvl>
  </w:abstractNum>
  <w:abstractNum w:abstractNumId="3" w15:restartNumberingAfterBreak="0">
    <w:nsid w:val="09DC73B2"/>
    <w:multiLevelType w:val="hybridMultilevel"/>
    <w:tmpl w:val="256E45B6"/>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53488"/>
    <w:multiLevelType w:val="hybridMultilevel"/>
    <w:tmpl w:val="006211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A7370"/>
    <w:multiLevelType w:val="hybridMultilevel"/>
    <w:tmpl w:val="65BA27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727DCD"/>
    <w:multiLevelType w:val="multilevel"/>
    <w:tmpl w:val="F56600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9B2A24"/>
    <w:multiLevelType w:val="hybridMultilevel"/>
    <w:tmpl w:val="AEFA32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A6633A"/>
    <w:multiLevelType w:val="hybridMultilevel"/>
    <w:tmpl w:val="D3366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B3C72"/>
    <w:multiLevelType w:val="hybridMultilevel"/>
    <w:tmpl w:val="BFDAC448"/>
    <w:lvl w:ilvl="0" w:tplc="798C76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5C2F47"/>
    <w:multiLevelType w:val="hybridMultilevel"/>
    <w:tmpl w:val="DBB43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1208DB"/>
    <w:multiLevelType w:val="hybridMultilevel"/>
    <w:tmpl w:val="F9D2840E"/>
    <w:lvl w:ilvl="0" w:tplc="0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ED2AB2"/>
    <w:multiLevelType w:val="multilevel"/>
    <w:tmpl w:val="F56600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444A12"/>
    <w:multiLevelType w:val="hybridMultilevel"/>
    <w:tmpl w:val="CBE6C2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C48496B"/>
    <w:multiLevelType w:val="hybridMultilevel"/>
    <w:tmpl w:val="C2E685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E977C5"/>
    <w:multiLevelType w:val="hybridMultilevel"/>
    <w:tmpl w:val="EE1890FA"/>
    <w:lvl w:ilvl="0" w:tplc="080A0019">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3E6774"/>
    <w:multiLevelType w:val="multilevel"/>
    <w:tmpl w:val="55F896B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0314849"/>
    <w:multiLevelType w:val="multilevel"/>
    <w:tmpl w:val="520631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237B13"/>
    <w:multiLevelType w:val="hybridMultilevel"/>
    <w:tmpl w:val="E1CCC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2136E"/>
    <w:multiLevelType w:val="hybridMultilevel"/>
    <w:tmpl w:val="8B14EDB2"/>
    <w:lvl w:ilvl="0" w:tplc="4034861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AB46F91"/>
    <w:multiLevelType w:val="multilevel"/>
    <w:tmpl w:val="DB3E8182"/>
    <w:lvl w:ilvl="0">
      <w:start w:val="2"/>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1" w15:restartNumberingAfterBreak="0">
    <w:nsid w:val="5C562AB8"/>
    <w:multiLevelType w:val="hybridMultilevel"/>
    <w:tmpl w:val="3E5A7D7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631B5676"/>
    <w:multiLevelType w:val="hybridMultilevel"/>
    <w:tmpl w:val="0016A42A"/>
    <w:lvl w:ilvl="0" w:tplc="A1B66C16">
      <w:start w:val="4"/>
      <w:numFmt w:val="decimal"/>
      <w:lvlText w:val="%1."/>
      <w:lvlJc w:val="left"/>
      <w:pPr>
        <w:ind w:left="1152" w:hanging="360"/>
      </w:pPr>
      <w:rPr>
        <w:rFonts w:hint="default"/>
        <w:sz w:val="22"/>
      </w:r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3" w15:restartNumberingAfterBreak="0">
    <w:nsid w:val="68C47830"/>
    <w:multiLevelType w:val="multilevel"/>
    <w:tmpl w:val="F56600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F20FCA"/>
    <w:multiLevelType w:val="multilevel"/>
    <w:tmpl w:val="F56600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ED78C2"/>
    <w:multiLevelType w:val="multilevel"/>
    <w:tmpl w:val="18722918"/>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9452902"/>
    <w:multiLevelType w:val="multilevel"/>
    <w:tmpl w:val="CACA66E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3"/>
  </w:num>
  <w:num w:numId="2">
    <w:abstractNumId w:val="10"/>
  </w:num>
  <w:num w:numId="3">
    <w:abstractNumId w:val="11"/>
  </w:num>
  <w:num w:numId="4">
    <w:abstractNumId w:val="6"/>
  </w:num>
  <w:num w:numId="5">
    <w:abstractNumId w:val="24"/>
  </w:num>
  <w:num w:numId="6">
    <w:abstractNumId w:val="12"/>
  </w:num>
  <w:num w:numId="7">
    <w:abstractNumId w:val="17"/>
  </w:num>
  <w:num w:numId="8">
    <w:abstractNumId w:val="21"/>
  </w:num>
  <w:num w:numId="9">
    <w:abstractNumId w:val="0"/>
  </w:num>
  <w:num w:numId="10">
    <w:abstractNumId w:val="7"/>
  </w:num>
  <w:num w:numId="11">
    <w:abstractNumId w:val="13"/>
  </w:num>
  <w:num w:numId="12">
    <w:abstractNumId w:val="9"/>
  </w:num>
  <w:num w:numId="13">
    <w:abstractNumId w:val="20"/>
  </w:num>
  <w:num w:numId="14">
    <w:abstractNumId w:val="25"/>
  </w:num>
  <w:num w:numId="15">
    <w:abstractNumId w:val="22"/>
  </w:num>
  <w:num w:numId="16">
    <w:abstractNumId w:val="2"/>
  </w:num>
  <w:num w:numId="17">
    <w:abstractNumId w:val="5"/>
  </w:num>
  <w:num w:numId="18">
    <w:abstractNumId w:val="18"/>
  </w:num>
  <w:num w:numId="19">
    <w:abstractNumId w:val="26"/>
  </w:num>
  <w:num w:numId="20">
    <w:abstractNumId w:val="8"/>
  </w:num>
  <w:num w:numId="21">
    <w:abstractNumId w:val="19"/>
  </w:num>
  <w:num w:numId="22">
    <w:abstractNumId w:val="16"/>
  </w:num>
  <w:num w:numId="23">
    <w:abstractNumId w:val="14"/>
  </w:num>
  <w:num w:numId="24">
    <w:abstractNumId w:val="15"/>
  </w:num>
  <w:num w:numId="25">
    <w:abstractNumId w:val="1"/>
  </w:num>
  <w:num w:numId="26">
    <w:abstractNumId w:val="3"/>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17"/>
    <w:rsid w:val="00000921"/>
    <w:rsid w:val="000011C0"/>
    <w:rsid w:val="000055F0"/>
    <w:rsid w:val="00017226"/>
    <w:rsid w:val="00017BAF"/>
    <w:rsid w:val="00020C4D"/>
    <w:rsid w:val="000255A9"/>
    <w:rsid w:val="000328A5"/>
    <w:rsid w:val="00032A3F"/>
    <w:rsid w:val="00036323"/>
    <w:rsid w:val="0004021E"/>
    <w:rsid w:val="00041A3A"/>
    <w:rsid w:val="000434F9"/>
    <w:rsid w:val="00044DD7"/>
    <w:rsid w:val="000460CC"/>
    <w:rsid w:val="00047370"/>
    <w:rsid w:val="000477CD"/>
    <w:rsid w:val="00050077"/>
    <w:rsid w:val="00052748"/>
    <w:rsid w:val="000545C2"/>
    <w:rsid w:val="00054794"/>
    <w:rsid w:val="00056D6F"/>
    <w:rsid w:val="00064913"/>
    <w:rsid w:val="000728F8"/>
    <w:rsid w:val="0007340E"/>
    <w:rsid w:val="0007360C"/>
    <w:rsid w:val="00076A92"/>
    <w:rsid w:val="00084C8B"/>
    <w:rsid w:val="00095A5C"/>
    <w:rsid w:val="000A2FB5"/>
    <w:rsid w:val="000A3D84"/>
    <w:rsid w:val="000A778E"/>
    <w:rsid w:val="000B09B8"/>
    <w:rsid w:val="000B7D20"/>
    <w:rsid w:val="000C10DE"/>
    <w:rsid w:val="000C2387"/>
    <w:rsid w:val="000C296C"/>
    <w:rsid w:val="000C2B6A"/>
    <w:rsid w:val="000C33CA"/>
    <w:rsid w:val="000C540D"/>
    <w:rsid w:val="000C6AE4"/>
    <w:rsid w:val="000C7DDB"/>
    <w:rsid w:val="000D036F"/>
    <w:rsid w:val="000D15BF"/>
    <w:rsid w:val="000D1A06"/>
    <w:rsid w:val="000E0F83"/>
    <w:rsid w:val="000E1794"/>
    <w:rsid w:val="000E3306"/>
    <w:rsid w:val="000E51B2"/>
    <w:rsid w:val="000F25BF"/>
    <w:rsid w:val="000F2A45"/>
    <w:rsid w:val="000F5DB2"/>
    <w:rsid w:val="000F727B"/>
    <w:rsid w:val="001063F9"/>
    <w:rsid w:val="00107DDB"/>
    <w:rsid w:val="001107AC"/>
    <w:rsid w:val="00120152"/>
    <w:rsid w:val="00121AF7"/>
    <w:rsid w:val="00123785"/>
    <w:rsid w:val="00123983"/>
    <w:rsid w:val="00123C0D"/>
    <w:rsid w:val="001273A1"/>
    <w:rsid w:val="00131DD9"/>
    <w:rsid w:val="00134FFC"/>
    <w:rsid w:val="00135E66"/>
    <w:rsid w:val="00136CAC"/>
    <w:rsid w:val="00137275"/>
    <w:rsid w:val="001501D9"/>
    <w:rsid w:val="001542EB"/>
    <w:rsid w:val="00154665"/>
    <w:rsid w:val="001618DF"/>
    <w:rsid w:val="00162183"/>
    <w:rsid w:val="001644A5"/>
    <w:rsid w:val="00170D60"/>
    <w:rsid w:val="001752EA"/>
    <w:rsid w:val="00177210"/>
    <w:rsid w:val="001805E6"/>
    <w:rsid w:val="00183CA7"/>
    <w:rsid w:val="0018630C"/>
    <w:rsid w:val="00191983"/>
    <w:rsid w:val="0019265B"/>
    <w:rsid w:val="00192A53"/>
    <w:rsid w:val="0019585A"/>
    <w:rsid w:val="001B210E"/>
    <w:rsid w:val="001B4D8E"/>
    <w:rsid w:val="001B4DDC"/>
    <w:rsid w:val="001B591B"/>
    <w:rsid w:val="001C047D"/>
    <w:rsid w:val="001C3BD0"/>
    <w:rsid w:val="001D057E"/>
    <w:rsid w:val="001D50E0"/>
    <w:rsid w:val="001D732A"/>
    <w:rsid w:val="001E08BC"/>
    <w:rsid w:val="001F68D4"/>
    <w:rsid w:val="001F7E2F"/>
    <w:rsid w:val="0020605F"/>
    <w:rsid w:val="0021070D"/>
    <w:rsid w:val="002119B9"/>
    <w:rsid w:val="00216227"/>
    <w:rsid w:val="0021675C"/>
    <w:rsid w:val="00217C51"/>
    <w:rsid w:val="00223779"/>
    <w:rsid w:val="002262D6"/>
    <w:rsid w:val="002266B1"/>
    <w:rsid w:val="00227B2E"/>
    <w:rsid w:val="002370D1"/>
    <w:rsid w:val="00241C1B"/>
    <w:rsid w:val="00242BF3"/>
    <w:rsid w:val="0025048D"/>
    <w:rsid w:val="00253748"/>
    <w:rsid w:val="0025732E"/>
    <w:rsid w:val="00261EB2"/>
    <w:rsid w:val="00262D44"/>
    <w:rsid w:val="0026434B"/>
    <w:rsid w:val="002645C1"/>
    <w:rsid w:val="0026561D"/>
    <w:rsid w:val="00266A96"/>
    <w:rsid w:val="002728F2"/>
    <w:rsid w:val="002752B7"/>
    <w:rsid w:val="002768DF"/>
    <w:rsid w:val="002825F1"/>
    <w:rsid w:val="00286173"/>
    <w:rsid w:val="00291EC7"/>
    <w:rsid w:val="002927F1"/>
    <w:rsid w:val="002947D7"/>
    <w:rsid w:val="00296014"/>
    <w:rsid w:val="002A0849"/>
    <w:rsid w:val="002B1E63"/>
    <w:rsid w:val="002B4ECB"/>
    <w:rsid w:val="002C21B3"/>
    <w:rsid w:val="002D6B69"/>
    <w:rsid w:val="002E1FEF"/>
    <w:rsid w:val="002E55E8"/>
    <w:rsid w:val="002E705E"/>
    <w:rsid w:val="002F16DB"/>
    <w:rsid w:val="002F40BB"/>
    <w:rsid w:val="002F61CE"/>
    <w:rsid w:val="002F731C"/>
    <w:rsid w:val="002F75B1"/>
    <w:rsid w:val="002F7F93"/>
    <w:rsid w:val="003006EA"/>
    <w:rsid w:val="003016CB"/>
    <w:rsid w:val="00302108"/>
    <w:rsid w:val="0030211F"/>
    <w:rsid w:val="00302628"/>
    <w:rsid w:val="003128DE"/>
    <w:rsid w:val="00314155"/>
    <w:rsid w:val="00314EE2"/>
    <w:rsid w:val="00315805"/>
    <w:rsid w:val="00316F39"/>
    <w:rsid w:val="00332CD4"/>
    <w:rsid w:val="0033339F"/>
    <w:rsid w:val="00333D13"/>
    <w:rsid w:val="003416C7"/>
    <w:rsid w:val="00343236"/>
    <w:rsid w:val="00345FF9"/>
    <w:rsid w:val="00346013"/>
    <w:rsid w:val="00347F3A"/>
    <w:rsid w:val="00353723"/>
    <w:rsid w:val="00355ABB"/>
    <w:rsid w:val="00355AC3"/>
    <w:rsid w:val="00355FA2"/>
    <w:rsid w:val="003641B0"/>
    <w:rsid w:val="0036432B"/>
    <w:rsid w:val="00365709"/>
    <w:rsid w:val="0037441F"/>
    <w:rsid w:val="00374DD5"/>
    <w:rsid w:val="003821DF"/>
    <w:rsid w:val="0038256B"/>
    <w:rsid w:val="003836DB"/>
    <w:rsid w:val="00385BA1"/>
    <w:rsid w:val="00390F9A"/>
    <w:rsid w:val="003912B8"/>
    <w:rsid w:val="003A1DDF"/>
    <w:rsid w:val="003A21A2"/>
    <w:rsid w:val="003A3E12"/>
    <w:rsid w:val="003B0FFE"/>
    <w:rsid w:val="003B230A"/>
    <w:rsid w:val="003B2F66"/>
    <w:rsid w:val="003B7F3F"/>
    <w:rsid w:val="003C2558"/>
    <w:rsid w:val="003C2780"/>
    <w:rsid w:val="003C6A42"/>
    <w:rsid w:val="003C735F"/>
    <w:rsid w:val="003C7A38"/>
    <w:rsid w:val="003D2F06"/>
    <w:rsid w:val="003D3D17"/>
    <w:rsid w:val="003D4683"/>
    <w:rsid w:val="003D6E70"/>
    <w:rsid w:val="003E0E09"/>
    <w:rsid w:val="003E391D"/>
    <w:rsid w:val="003F1857"/>
    <w:rsid w:val="003F186F"/>
    <w:rsid w:val="003F470A"/>
    <w:rsid w:val="003F53FA"/>
    <w:rsid w:val="003F66F5"/>
    <w:rsid w:val="004013B1"/>
    <w:rsid w:val="00401D29"/>
    <w:rsid w:val="00402AA3"/>
    <w:rsid w:val="00402BA5"/>
    <w:rsid w:val="00420875"/>
    <w:rsid w:val="004213FE"/>
    <w:rsid w:val="00423BB5"/>
    <w:rsid w:val="004323AC"/>
    <w:rsid w:val="004325E3"/>
    <w:rsid w:val="00442E05"/>
    <w:rsid w:val="00452F6E"/>
    <w:rsid w:val="004543B0"/>
    <w:rsid w:val="00454650"/>
    <w:rsid w:val="004577CF"/>
    <w:rsid w:val="0046135E"/>
    <w:rsid w:val="00463D8D"/>
    <w:rsid w:val="0046561C"/>
    <w:rsid w:val="00473909"/>
    <w:rsid w:val="0047599F"/>
    <w:rsid w:val="00475AEE"/>
    <w:rsid w:val="004767C6"/>
    <w:rsid w:val="00480623"/>
    <w:rsid w:val="0048080E"/>
    <w:rsid w:val="004819BB"/>
    <w:rsid w:val="00483008"/>
    <w:rsid w:val="00483449"/>
    <w:rsid w:val="00484F1C"/>
    <w:rsid w:val="00485468"/>
    <w:rsid w:val="00485DF0"/>
    <w:rsid w:val="004911B2"/>
    <w:rsid w:val="004911DC"/>
    <w:rsid w:val="00493768"/>
    <w:rsid w:val="00496087"/>
    <w:rsid w:val="00496986"/>
    <w:rsid w:val="004975B3"/>
    <w:rsid w:val="004B6AD3"/>
    <w:rsid w:val="004B71C5"/>
    <w:rsid w:val="004C2249"/>
    <w:rsid w:val="004C299A"/>
    <w:rsid w:val="004C790E"/>
    <w:rsid w:val="004D0998"/>
    <w:rsid w:val="004D3483"/>
    <w:rsid w:val="004D55DB"/>
    <w:rsid w:val="004D6C8C"/>
    <w:rsid w:val="004E185E"/>
    <w:rsid w:val="004E1D60"/>
    <w:rsid w:val="004E251F"/>
    <w:rsid w:val="004E3511"/>
    <w:rsid w:val="004F2B1B"/>
    <w:rsid w:val="004F3BDE"/>
    <w:rsid w:val="005031C8"/>
    <w:rsid w:val="00510AD1"/>
    <w:rsid w:val="00513480"/>
    <w:rsid w:val="00514A28"/>
    <w:rsid w:val="005213FA"/>
    <w:rsid w:val="0052176B"/>
    <w:rsid w:val="00524167"/>
    <w:rsid w:val="00524541"/>
    <w:rsid w:val="0052485E"/>
    <w:rsid w:val="00534B30"/>
    <w:rsid w:val="0054426B"/>
    <w:rsid w:val="00544A55"/>
    <w:rsid w:val="00545123"/>
    <w:rsid w:val="00553936"/>
    <w:rsid w:val="00555173"/>
    <w:rsid w:val="005609E4"/>
    <w:rsid w:val="00560A65"/>
    <w:rsid w:val="00562130"/>
    <w:rsid w:val="00563DC3"/>
    <w:rsid w:val="0056573E"/>
    <w:rsid w:val="00571EDE"/>
    <w:rsid w:val="0057792B"/>
    <w:rsid w:val="00577980"/>
    <w:rsid w:val="00586C01"/>
    <w:rsid w:val="005A0A2E"/>
    <w:rsid w:val="005A14A8"/>
    <w:rsid w:val="005A3762"/>
    <w:rsid w:val="005A6E43"/>
    <w:rsid w:val="005A73A3"/>
    <w:rsid w:val="005B21A6"/>
    <w:rsid w:val="005B27CF"/>
    <w:rsid w:val="005B5CD5"/>
    <w:rsid w:val="005B6FEF"/>
    <w:rsid w:val="005C12A4"/>
    <w:rsid w:val="005C1685"/>
    <w:rsid w:val="005C1EF0"/>
    <w:rsid w:val="005D2BF7"/>
    <w:rsid w:val="005D76AA"/>
    <w:rsid w:val="005E072D"/>
    <w:rsid w:val="005E5CE0"/>
    <w:rsid w:val="005E5FC4"/>
    <w:rsid w:val="005E626F"/>
    <w:rsid w:val="005E695F"/>
    <w:rsid w:val="005F0356"/>
    <w:rsid w:val="005F4DB8"/>
    <w:rsid w:val="005F72AF"/>
    <w:rsid w:val="00604842"/>
    <w:rsid w:val="00615024"/>
    <w:rsid w:val="00616E23"/>
    <w:rsid w:val="00617A2A"/>
    <w:rsid w:val="0062032C"/>
    <w:rsid w:val="00620802"/>
    <w:rsid w:val="00622838"/>
    <w:rsid w:val="006234AB"/>
    <w:rsid w:val="00624252"/>
    <w:rsid w:val="00626188"/>
    <w:rsid w:val="00627461"/>
    <w:rsid w:val="00627544"/>
    <w:rsid w:val="00634851"/>
    <w:rsid w:val="00640BC3"/>
    <w:rsid w:val="00654793"/>
    <w:rsid w:val="00654961"/>
    <w:rsid w:val="00655A54"/>
    <w:rsid w:val="006566D1"/>
    <w:rsid w:val="006608AC"/>
    <w:rsid w:val="00662874"/>
    <w:rsid w:val="006662A2"/>
    <w:rsid w:val="00672C4F"/>
    <w:rsid w:val="00675E46"/>
    <w:rsid w:val="006803F6"/>
    <w:rsid w:val="00680423"/>
    <w:rsid w:val="00683C6D"/>
    <w:rsid w:val="0069349B"/>
    <w:rsid w:val="00695C49"/>
    <w:rsid w:val="00696149"/>
    <w:rsid w:val="006A0600"/>
    <w:rsid w:val="006A60CB"/>
    <w:rsid w:val="006A6FEF"/>
    <w:rsid w:val="006A7079"/>
    <w:rsid w:val="006B11F0"/>
    <w:rsid w:val="006B1E7B"/>
    <w:rsid w:val="006B4E0D"/>
    <w:rsid w:val="006B66EE"/>
    <w:rsid w:val="006B7AFF"/>
    <w:rsid w:val="006C25A0"/>
    <w:rsid w:val="006C2F7B"/>
    <w:rsid w:val="006D166C"/>
    <w:rsid w:val="006D4FB0"/>
    <w:rsid w:val="006D5DD2"/>
    <w:rsid w:val="006D61EB"/>
    <w:rsid w:val="006D7171"/>
    <w:rsid w:val="006E147F"/>
    <w:rsid w:val="006E5A2A"/>
    <w:rsid w:val="006F248C"/>
    <w:rsid w:val="006F6C4B"/>
    <w:rsid w:val="00704000"/>
    <w:rsid w:val="00704C63"/>
    <w:rsid w:val="007116E0"/>
    <w:rsid w:val="00711D8E"/>
    <w:rsid w:val="00717DCA"/>
    <w:rsid w:val="0072209F"/>
    <w:rsid w:val="00725A85"/>
    <w:rsid w:val="00731B11"/>
    <w:rsid w:val="00732074"/>
    <w:rsid w:val="00733805"/>
    <w:rsid w:val="00736D4C"/>
    <w:rsid w:val="0073712F"/>
    <w:rsid w:val="00737834"/>
    <w:rsid w:val="00742A47"/>
    <w:rsid w:val="007454B5"/>
    <w:rsid w:val="0074627C"/>
    <w:rsid w:val="0075154D"/>
    <w:rsid w:val="007528D7"/>
    <w:rsid w:val="00755E6A"/>
    <w:rsid w:val="00760109"/>
    <w:rsid w:val="007707EF"/>
    <w:rsid w:val="00771124"/>
    <w:rsid w:val="007732F6"/>
    <w:rsid w:val="00775C84"/>
    <w:rsid w:val="00776FB6"/>
    <w:rsid w:val="007829B8"/>
    <w:rsid w:val="00787B30"/>
    <w:rsid w:val="00790296"/>
    <w:rsid w:val="00795950"/>
    <w:rsid w:val="0079684F"/>
    <w:rsid w:val="007A3AB3"/>
    <w:rsid w:val="007A5D36"/>
    <w:rsid w:val="007A5DDF"/>
    <w:rsid w:val="007B0681"/>
    <w:rsid w:val="007B6B92"/>
    <w:rsid w:val="007C4C95"/>
    <w:rsid w:val="007C5B67"/>
    <w:rsid w:val="007D3626"/>
    <w:rsid w:val="007D6D9C"/>
    <w:rsid w:val="007D729E"/>
    <w:rsid w:val="007E2F20"/>
    <w:rsid w:val="007E45F1"/>
    <w:rsid w:val="007E4657"/>
    <w:rsid w:val="007E5D7C"/>
    <w:rsid w:val="007E745C"/>
    <w:rsid w:val="007F4F71"/>
    <w:rsid w:val="00804C9D"/>
    <w:rsid w:val="00806A05"/>
    <w:rsid w:val="00807F5B"/>
    <w:rsid w:val="008125CC"/>
    <w:rsid w:val="00812751"/>
    <w:rsid w:val="00813E35"/>
    <w:rsid w:val="008151EE"/>
    <w:rsid w:val="008259CE"/>
    <w:rsid w:val="00826179"/>
    <w:rsid w:val="00835021"/>
    <w:rsid w:val="00840A3F"/>
    <w:rsid w:val="008450D0"/>
    <w:rsid w:val="008455B2"/>
    <w:rsid w:val="00856064"/>
    <w:rsid w:val="00863A21"/>
    <w:rsid w:val="00866F49"/>
    <w:rsid w:val="00870E64"/>
    <w:rsid w:val="00874BB0"/>
    <w:rsid w:val="00880470"/>
    <w:rsid w:val="00881F8C"/>
    <w:rsid w:val="00883908"/>
    <w:rsid w:val="0088497A"/>
    <w:rsid w:val="008914CD"/>
    <w:rsid w:val="00891F96"/>
    <w:rsid w:val="00892B2C"/>
    <w:rsid w:val="0089352F"/>
    <w:rsid w:val="008953A4"/>
    <w:rsid w:val="008A40C4"/>
    <w:rsid w:val="008A7377"/>
    <w:rsid w:val="008B4C7A"/>
    <w:rsid w:val="008C2503"/>
    <w:rsid w:val="008C2E92"/>
    <w:rsid w:val="008C2F99"/>
    <w:rsid w:val="008C32B4"/>
    <w:rsid w:val="008D4EEF"/>
    <w:rsid w:val="008D53D9"/>
    <w:rsid w:val="008E05B7"/>
    <w:rsid w:val="008E06A5"/>
    <w:rsid w:val="008E06FE"/>
    <w:rsid w:val="008E0BCE"/>
    <w:rsid w:val="008E76ED"/>
    <w:rsid w:val="008F4D7E"/>
    <w:rsid w:val="00904BB9"/>
    <w:rsid w:val="009060F7"/>
    <w:rsid w:val="00910067"/>
    <w:rsid w:val="00912E92"/>
    <w:rsid w:val="009143FE"/>
    <w:rsid w:val="00915171"/>
    <w:rsid w:val="00916609"/>
    <w:rsid w:val="00921AD2"/>
    <w:rsid w:val="00923724"/>
    <w:rsid w:val="0092560D"/>
    <w:rsid w:val="00927811"/>
    <w:rsid w:val="00927AB4"/>
    <w:rsid w:val="00934088"/>
    <w:rsid w:val="00934616"/>
    <w:rsid w:val="00934C50"/>
    <w:rsid w:val="009415DA"/>
    <w:rsid w:val="0094316E"/>
    <w:rsid w:val="00945051"/>
    <w:rsid w:val="009455B8"/>
    <w:rsid w:val="00945E0D"/>
    <w:rsid w:val="00946987"/>
    <w:rsid w:val="00946F3A"/>
    <w:rsid w:val="009576D9"/>
    <w:rsid w:val="00967E67"/>
    <w:rsid w:val="00970637"/>
    <w:rsid w:val="00977766"/>
    <w:rsid w:val="009815EC"/>
    <w:rsid w:val="00981F5B"/>
    <w:rsid w:val="0098297D"/>
    <w:rsid w:val="009841A0"/>
    <w:rsid w:val="0098473A"/>
    <w:rsid w:val="00984DD0"/>
    <w:rsid w:val="009875D4"/>
    <w:rsid w:val="00991CFD"/>
    <w:rsid w:val="009927BF"/>
    <w:rsid w:val="009957F0"/>
    <w:rsid w:val="009A253E"/>
    <w:rsid w:val="009A28C4"/>
    <w:rsid w:val="009A43A6"/>
    <w:rsid w:val="009B0419"/>
    <w:rsid w:val="009B11EF"/>
    <w:rsid w:val="009B1253"/>
    <w:rsid w:val="009B23CC"/>
    <w:rsid w:val="009B296B"/>
    <w:rsid w:val="009B4B57"/>
    <w:rsid w:val="009B5BE3"/>
    <w:rsid w:val="009C02F4"/>
    <w:rsid w:val="009C12D6"/>
    <w:rsid w:val="009C73AC"/>
    <w:rsid w:val="009D60E2"/>
    <w:rsid w:val="009E1629"/>
    <w:rsid w:val="009E1C74"/>
    <w:rsid w:val="009E37B7"/>
    <w:rsid w:val="009F0227"/>
    <w:rsid w:val="009F0383"/>
    <w:rsid w:val="009F2276"/>
    <w:rsid w:val="009F2A83"/>
    <w:rsid w:val="009F5581"/>
    <w:rsid w:val="00A022D4"/>
    <w:rsid w:val="00A05584"/>
    <w:rsid w:val="00A0708B"/>
    <w:rsid w:val="00A071EE"/>
    <w:rsid w:val="00A177BA"/>
    <w:rsid w:val="00A21BB8"/>
    <w:rsid w:val="00A23A6E"/>
    <w:rsid w:val="00A26D66"/>
    <w:rsid w:val="00A3396A"/>
    <w:rsid w:val="00A33A50"/>
    <w:rsid w:val="00A4174B"/>
    <w:rsid w:val="00A41794"/>
    <w:rsid w:val="00A43235"/>
    <w:rsid w:val="00A433B5"/>
    <w:rsid w:val="00A454D6"/>
    <w:rsid w:val="00A5175F"/>
    <w:rsid w:val="00A5278B"/>
    <w:rsid w:val="00A52A53"/>
    <w:rsid w:val="00A57498"/>
    <w:rsid w:val="00A61EAD"/>
    <w:rsid w:val="00A65B17"/>
    <w:rsid w:val="00A6759A"/>
    <w:rsid w:val="00A7581F"/>
    <w:rsid w:val="00A9738F"/>
    <w:rsid w:val="00AA2B69"/>
    <w:rsid w:val="00AA4709"/>
    <w:rsid w:val="00AA5F72"/>
    <w:rsid w:val="00AC10AF"/>
    <w:rsid w:val="00AC1E4A"/>
    <w:rsid w:val="00AC3139"/>
    <w:rsid w:val="00AC3FAC"/>
    <w:rsid w:val="00AC54F5"/>
    <w:rsid w:val="00AC6BFA"/>
    <w:rsid w:val="00AD011F"/>
    <w:rsid w:val="00AD28E6"/>
    <w:rsid w:val="00AD70B5"/>
    <w:rsid w:val="00AD7D6B"/>
    <w:rsid w:val="00AE0A40"/>
    <w:rsid w:val="00AE140C"/>
    <w:rsid w:val="00AF1B72"/>
    <w:rsid w:val="00AF3B64"/>
    <w:rsid w:val="00AF50EB"/>
    <w:rsid w:val="00B07E4C"/>
    <w:rsid w:val="00B104B0"/>
    <w:rsid w:val="00B12926"/>
    <w:rsid w:val="00B13285"/>
    <w:rsid w:val="00B14357"/>
    <w:rsid w:val="00B20830"/>
    <w:rsid w:val="00B229E0"/>
    <w:rsid w:val="00B24576"/>
    <w:rsid w:val="00B31076"/>
    <w:rsid w:val="00B358E0"/>
    <w:rsid w:val="00B43FBB"/>
    <w:rsid w:val="00B46DF9"/>
    <w:rsid w:val="00B47FED"/>
    <w:rsid w:val="00B51093"/>
    <w:rsid w:val="00B52B97"/>
    <w:rsid w:val="00B54699"/>
    <w:rsid w:val="00B55778"/>
    <w:rsid w:val="00B72752"/>
    <w:rsid w:val="00B76F88"/>
    <w:rsid w:val="00B77A9D"/>
    <w:rsid w:val="00B83DAF"/>
    <w:rsid w:val="00B84F3F"/>
    <w:rsid w:val="00B96155"/>
    <w:rsid w:val="00B97CD4"/>
    <w:rsid w:val="00BA2851"/>
    <w:rsid w:val="00BA4968"/>
    <w:rsid w:val="00BA611A"/>
    <w:rsid w:val="00BB03A8"/>
    <w:rsid w:val="00BB1659"/>
    <w:rsid w:val="00BB40B0"/>
    <w:rsid w:val="00BB46E2"/>
    <w:rsid w:val="00BC0CF5"/>
    <w:rsid w:val="00BC32CC"/>
    <w:rsid w:val="00BC7437"/>
    <w:rsid w:val="00BD0D48"/>
    <w:rsid w:val="00BD1EFC"/>
    <w:rsid w:val="00BD4461"/>
    <w:rsid w:val="00BD460A"/>
    <w:rsid w:val="00BD5F78"/>
    <w:rsid w:val="00BE258B"/>
    <w:rsid w:val="00BE2D44"/>
    <w:rsid w:val="00BF2795"/>
    <w:rsid w:val="00BF3087"/>
    <w:rsid w:val="00BF3DB2"/>
    <w:rsid w:val="00C00EB8"/>
    <w:rsid w:val="00C05013"/>
    <w:rsid w:val="00C131FE"/>
    <w:rsid w:val="00C16F41"/>
    <w:rsid w:val="00C230E6"/>
    <w:rsid w:val="00C26690"/>
    <w:rsid w:val="00C31462"/>
    <w:rsid w:val="00C42674"/>
    <w:rsid w:val="00C45AED"/>
    <w:rsid w:val="00C66202"/>
    <w:rsid w:val="00C674B3"/>
    <w:rsid w:val="00C70F17"/>
    <w:rsid w:val="00C71275"/>
    <w:rsid w:val="00C71317"/>
    <w:rsid w:val="00C7244D"/>
    <w:rsid w:val="00C7309C"/>
    <w:rsid w:val="00C750BD"/>
    <w:rsid w:val="00C82F5E"/>
    <w:rsid w:val="00C952C5"/>
    <w:rsid w:val="00CA321C"/>
    <w:rsid w:val="00CA4B6E"/>
    <w:rsid w:val="00CA7687"/>
    <w:rsid w:val="00CB06B1"/>
    <w:rsid w:val="00CB234E"/>
    <w:rsid w:val="00CB34AB"/>
    <w:rsid w:val="00CB34D0"/>
    <w:rsid w:val="00CC79D0"/>
    <w:rsid w:val="00CD0163"/>
    <w:rsid w:val="00CD5EB8"/>
    <w:rsid w:val="00CE5226"/>
    <w:rsid w:val="00D04D26"/>
    <w:rsid w:val="00D04E96"/>
    <w:rsid w:val="00D12856"/>
    <w:rsid w:val="00D15B4D"/>
    <w:rsid w:val="00D219FC"/>
    <w:rsid w:val="00D25FEA"/>
    <w:rsid w:val="00D2626B"/>
    <w:rsid w:val="00D27CB0"/>
    <w:rsid w:val="00D332FD"/>
    <w:rsid w:val="00D344F6"/>
    <w:rsid w:val="00D37D2A"/>
    <w:rsid w:val="00D40438"/>
    <w:rsid w:val="00D41E79"/>
    <w:rsid w:val="00D456E4"/>
    <w:rsid w:val="00D509B0"/>
    <w:rsid w:val="00D55559"/>
    <w:rsid w:val="00D622C6"/>
    <w:rsid w:val="00D62F06"/>
    <w:rsid w:val="00D71D57"/>
    <w:rsid w:val="00D75153"/>
    <w:rsid w:val="00D75A34"/>
    <w:rsid w:val="00D75D4F"/>
    <w:rsid w:val="00D77799"/>
    <w:rsid w:val="00D87150"/>
    <w:rsid w:val="00D91C6D"/>
    <w:rsid w:val="00D9280E"/>
    <w:rsid w:val="00D96179"/>
    <w:rsid w:val="00D963CF"/>
    <w:rsid w:val="00D97346"/>
    <w:rsid w:val="00DA2E81"/>
    <w:rsid w:val="00DA5CF1"/>
    <w:rsid w:val="00DA6107"/>
    <w:rsid w:val="00DB024B"/>
    <w:rsid w:val="00DB224E"/>
    <w:rsid w:val="00DB69FF"/>
    <w:rsid w:val="00DC1247"/>
    <w:rsid w:val="00DC2B38"/>
    <w:rsid w:val="00DC366C"/>
    <w:rsid w:val="00DD2662"/>
    <w:rsid w:val="00DD4378"/>
    <w:rsid w:val="00DD5206"/>
    <w:rsid w:val="00DE0332"/>
    <w:rsid w:val="00DF67B7"/>
    <w:rsid w:val="00E02F89"/>
    <w:rsid w:val="00E12A19"/>
    <w:rsid w:val="00E17B9D"/>
    <w:rsid w:val="00E27D64"/>
    <w:rsid w:val="00E33134"/>
    <w:rsid w:val="00E33A1B"/>
    <w:rsid w:val="00E34580"/>
    <w:rsid w:val="00E34BB5"/>
    <w:rsid w:val="00E35327"/>
    <w:rsid w:val="00E3583A"/>
    <w:rsid w:val="00E40720"/>
    <w:rsid w:val="00E44925"/>
    <w:rsid w:val="00E4686E"/>
    <w:rsid w:val="00E5243F"/>
    <w:rsid w:val="00E54B44"/>
    <w:rsid w:val="00E54D4D"/>
    <w:rsid w:val="00E603B6"/>
    <w:rsid w:val="00E6300A"/>
    <w:rsid w:val="00E63010"/>
    <w:rsid w:val="00E73280"/>
    <w:rsid w:val="00E734B8"/>
    <w:rsid w:val="00E74ADC"/>
    <w:rsid w:val="00E7778F"/>
    <w:rsid w:val="00E86769"/>
    <w:rsid w:val="00E9044F"/>
    <w:rsid w:val="00E97383"/>
    <w:rsid w:val="00EA039E"/>
    <w:rsid w:val="00EA07EB"/>
    <w:rsid w:val="00EA0920"/>
    <w:rsid w:val="00EA439D"/>
    <w:rsid w:val="00EA4D35"/>
    <w:rsid w:val="00EA6766"/>
    <w:rsid w:val="00EA7140"/>
    <w:rsid w:val="00EB6235"/>
    <w:rsid w:val="00EC2ED4"/>
    <w:rsid w:val="00EC3A2B"/>
    <w:rsid w:val="00EC661B"/>
    <w:rsid w:val="00ED3967"/>
    <w:rsid w:val="00ED60C0"/>
    <w:rsid w:val="00EE446A"/>
    <w:rsid w:val="00F03540"/>
    <w:rsid w:val="00F03B72"/>
    <w:rsid w:val="00F03C2C"/>
    <w:rsid w:val="00F103E6"/>
    <w:rsid w:val="00F11DA2"/>
    <w:rsid w:val="00F14111"/>
    <w:rsid w:val="00F161BE"/>
    <w:rsid w:val="00F17467"/>
    <w:rsid w:val="00F33ACC"/>
    <w:rsid w:val="00F420D0"/>
    <w:rsid w:val="00F4396D"/>
    <w:rsid w:val="00F45417"/>
    <w:rsid w:val="00F50063"/>
    <w:rsid w:val="00F520FC"/>
    <w:rsid w:val="00F547F9"/>
    <w:rsid w:val="00F55AC3"/>
    <w:rsid w:val="00F56BDA"/>
    <w:rsid w:val="00F62C0B"/>
    <w:rsid w:val="00F66C4A"/>
    <w:rsid w:val="00F70AC3"/>
    <w:rsid w:val="00F71F62"/>
    <w:rsid w:val="00F7241D"/>
    <w:rsid w:val="00F72E45"/>
    <w:rsid w:val="00F76479"/>
    <w:rsid w:val="00F812C8"/>
    <w:rsid w:val="00F82035"/>
    <w:rsid w:val="00F83BC6"/>
    <w:rsid w:val="00F91B77"/>
    <w:rsid w:val="00F925BA"/>
    <w:rsid w:val="00F9656C"/>
    <w:rsid w:val="00F96A95"/>
    <w:rsid w:val="00FA43EF"/>
    <w:rsid w:val="00FA5FE4"/>
    <w:rsid w:val="00FA6650"/>
    <w:rsid w:val="00FB1EC0"/>
    <w:rsid w:val="00FB2094"/>
    <w:rsid w:val="00FB5578"/>
    <w:rsid w:val="00FB6960"/>
    <w:rsid w:val="00FC38AE"/>
    <w:rsid w:val="00FC4101"/>
    <w:rsid w:val="00FD2B42"/>
    <w:rsid w:val="00FD2F08"/>
    <w:rsid w:val="00FE008F"/>
    <w:rsid w:val="00FE1F1E"/>
    <w:rsid w:val="00FE3D46"/>
    <w:rsid w:val="00FE4F3D"/>
    <w:rsid w:val="00FF22EA"/>
    <w:rsid w:val="00FF24CE"/>
    <w:rsid w:val="00FF2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64E22"/>
  <w15:docId w15:val="{23A5BA66-BA75-4775-B3EF-3096281B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1EC7"/>
    <w:pPr>
      <w:spacing w:after="0"/>
      <w:jc w:val="both"/>
    </w:pPr>
    <w:rPr>
      <w:rFonts w:ascii="Tahoma" w:hAnsi="Tahoma" w:cs="Times New Roman"/>
      <w:sz w:val="24"/>
      <w:lang w:eastAsia="es-ES"/>
    </w:rPr>
  </w:style>
  <w:style w:type="paragraph" w:styleId="Ttulo1">
    <w:name w:val="heading 1"/>
    <w:basedOn w:val="Normal"/>
    <w:next w:val="Normal"/>
    <w:link w:val="Ttulo1Car"/>
    <w:uiPriority w:val="9"/>
    <w:qFormat/>
    <w:rsid w:val="00DD2662"/>
    <w:pPr>
      <w:keepNext/>
      <w:keepLines/>
      <w:spacing w:before="240"/>
      <w:jc w:val="center"/>
      <w:outlineLvl w:val="0"/>
    </w:pPr>
    <w:rPr>
      <w:rFonts w:eastAsiaTheme="majorEastAsia" w:cstheme="majorBidi"/>
      <w:b/>
      <w:sz w:val="26"/>
      <w:szCs w:val="32"/>
    </w:rPr>
  </w:style>
  <w:style w:type="paragraph" w:styleId="Ttulo2">
    <w:name w:val="heading 2"/>
    <w:basedOn w:val="Normal"/>
    <w:next w:val="Normal"/>
    <w:link w:val="Ttulo2Car"/>
    <w:uiPriority w:val="9"/>
    <w:unhideWhenUsed/>
    <w:qFormat/>
    <w:rsid w:val="00E4686E"/>
    <w:pPr>
      <w:keepNext/>
      <w:keepLines/>
      <w:jc w:val="center"/>
      <w:outlineLvl w:val="1"/>
    </w:pPr>
    <w:rPr>
      <w:rFonts w:eastAsiaTheme="majorEastAsia" w:cstheme="majorBidi"/>
      <w:b/>
      <w:color w:val="398E98" w:themeColor="accent2" w:themeShade="BF"/>
      <w:szCs w:val="26"/>
    </w:rPr>
  </w:style>
  <w:style w:type="paragraph" w:styleId="Ttulo3">
    <w:name w:val="heading 3"/>
    <w:basedOn w:val="Normal"/>
    <w:next w:val="Normal"/>
    <w:link w:val="Ttulo3Car"/>
    <w:uiPriority w:val="9"/>
    <w:unhideWhenUsed/>
    <w:qFormat/>
    <w:rsid w:val="00E4686E"/>
    <w:pPr>
      <w:keepNext/>
      <w:keepLines/>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5417"/>
    <w:rPr>
      <w:rFonts w:cs="Tahoma"/>
      <w:sz w:val="16"/>
      <w:szCs w:val="16"/>
    </w:rPr>
  </w:style>
  <w:style w:type="character" w:customStyle="1" w:styleId="TextodegloboCar">
    <w:name w:val="Texto de globo Car"/>
    <w:basedOn w:val="Fuentedeprrafopredeter"/>
    <w:link w:val="Textodeglobo"/>
    <w:uiPriority w:val="99"/>
    <w:semiHidden/>
    <w:rsid w:val="00F45417"/>
    <w:rPr>
      <w:rFonts w:ascii="Tahoma" w:hAnsi="Tahoma" w:cs="Tahoma"/>
      <w:sz w:val="16"/>
      <w:szCs w:val="16"/>
    </w:rPr>
  </w:style>
  <w:style w:type="paragraph" w:styleId="Sinespaciado">
    <w:name w:val="No Spacing"/>
    <w:uiPriority w:val="1"/>
    <w:qFormat/>
    <w:rsid w:val="00F45417"/>
    <w:pPr>
      <w:spacing w:after="0" w:line="240" w:lineRule="auto"/>
    </w:p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Bullet 1,b1,Listas"/>
    <w:basedOn w:val="Normal"/>
    <w:link w:val="PrrafodelistaCar"/>
    <w:uiPriority w:val="34"/>
    <w:qFormat/>
    <w:rsid w:val="00F45417"/>
    <w:pPr>
      <w:ind w:left="720"/>
    </w:pPr>
  </w:style>
  <w:style w:type="character" w:styleId="Hipervnculo">
    <w:name w:val="Hyperlink"/>
    <w:basedOn w:val="Fuentedeprrafopredeter"/>
    <w:uiPriority w:val="99"/>
    <w:unhideWhenUsed/>
    <w:rsid w:val="00F45417"/>
    <w:rPr>
      <w:color w:val="0000FF"/>
      <w:u w:val="single"/>
    </w:rPr>
  </w:style>
  <w:style w:type="paragraph" w:styleId="Encabezado">
    <w:name w:val="header"/>
    <w:basedOn w:val="Normal"/>
    <w:link w:val="EncabezadoCar"/>
    <w:uiPriority w:val="99"/>
    <w:unhideWhenUsed/>
    <w:rsid w:val="00FA43EF"/>
    <w:pPr>
      <w:tabs>
        <w:tab w:val="center" w:pos="4252"/>
        <w:tab w:val="right" w:pos="8504"/>
      </w:tabs>
    </w:pPr>
  </w:style>
  <w:style w:type="character" w:customStyle="1" w:styleId="EncabezadoCar">
    <w:name w:val="Encabezado Car"/>
    <w:basedOn w:val="Fuentedeprrafopredeter"/>
    <w:link w:val="Encabezado"/>
    <w:uiPriority w:val="99"/>
    <w:rsid w:val="00FA43EF"/>
    <w:rPr>
      <w:rFonts w:ascii="Calibri" w:hAnsi="Calibri" w:cs="Times New Roman"/>
      <w:lang w:eastAsia="es-ES"/>
    </w:rPr>
  </w:style>
  <w:style w:type="paragraph" w:styleId="Piedepgina">
    <w:name w:val="footer"/>
    <w:basedOn w:val="Normal"/>
    <w:link w:val="PiedepginaCar"/>
    <w:uiPriority w:val="99"/>
    <w:unhideWhenUsed/>
    <w:rsid w:val="00FA43EF"/>
    <w:pPr>
      <w:tabs>
        <w:tab w:val="center" w:pos="4252"/>
        <w:tab w:val="right" w:pos="8504"/>
      </w:tabs>
    </w:pPr>
  </w:style>
  <w:style w:type="character" w:customStyle="1" w:styleId="PiedepginaCar">
    <w:name w:val="Pie de página Car"/>
    <w:basedOn w:val="Fuentedeprrafopredeter"/>
    <w:link w:val="Piedepgina"/>
    <w:uiPriority w:val="99"/>
    <w:rsid w:val="00FA43EF"/>
    <w:rPr>
      <w:rFonts w:ascii="Calibri" w:hAnsi="Calibri" w:cs="Times New Roman"/>
      <w:lang w:eastAsia="es-ES"/>
    </w:rPr>
  </w:style>
  <w:style w:type="paragraph" w:customStyle="1" w:styleId="Default">
    <w:name w:val="Default"/>
    <w:rsid w:val="00B52B97"/>
    <w:pPr>
      <w:autoSpaceDE w:val="0"/>
      <w:autoSpaceDN w:val="0"/>
      <w:adjustRightInd w:val="0"/>
      <w:spacing w:after="0" w:line="240" w:lineRule="auto"/>
    </w:pPr>
    <w:rPr>
      <w:rFonts w:ascii="Arial" w:hAnsi="Arial" w:cs="Arial"/>
      <w:color w:val="000000"/>
      <w:sz w:val="24"/>
      <w:szCs w:val="24"/>
      <w:lang w:val="es-MX"/>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b1 Car"/>
    <w:basedOn w:val="Fuentedeprrafopredeter"/>
    <w:link w:val="Prrafodelista"/>
    <w:uiPriority w:val="34"/>
    <w:locked/>
    <w:rsid w:val="00BD4461"/>
    <w:rPr>
      <w:rFonts w:ascii="Calibri" w:hAnsi="Calibri" w:cs="Times New Roman"/>
      <w:lang w:eastAsia="es-ES"/>
    </w:rPr>
  </w:style>
  <w:style w:type="table" w:styleId="Tablaconcuadrcula">
    <w:name w:val="Table Grid"/>
    <w:basedOn w:val="Tablanormal"/>
    <w:uiPriority w:val="59"/>
    <w:rsid w:val="00C23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A6E43"/>
    <w:rPr>
      <w:sz w:val="16"/>
      <w:szCs w:val="16"/>
    </w:rPr>
  </w:style>
  <w:style w:type="paragraph" w:styleId="Textocomentario">
    <w:name w:val="annotation text"/>
    <w:basedOn w:val="Normal"/>
    <w:link w:val="TextocomentarioCar"/>
    <w:uiPriority w:val="99"/>
    <w:semiHidden/>
    <w:unhideWhenUsed/>
    <w:rsid w:val="005A6E43"/>
    <w:rPr>
      <w:sz w:val="20"/>
      <w:szCs w:val="20"/>
    </w:rPr>
  </w:style>
  <w:style w:type="character" w:customStyle="1" w:styleId="TextocomentarioCar">
    <w:name w:val="Texto comentario Car"/>
    <w:basedOn w:val="Fuentedeprrafopredeter"/>
    <w:link w:val="Textocomentario"/>
    <w:uiPriority w:val="99"/>
    <w:semiHidden/>
    <w:rsid w:val="005A6E43"/>
    <w:rPr>
      <w:rFonts w:ascii="Calibri"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A6E43"/>
    <w:rPr>
      <w:b/>
      <w:bCs/>
    </w:rPr>
  </w:style>
  <w:style w:type="character" w:customStyle="1" w:styleId="AsuntodelcomentarioCar">
    <w:name w:val="Asunto del comentario Car"/>
    <w:basedOn w:val="TextocomentarioCar"/>
    <w:link w:val="Asuntodelcomentario"/>
    <w:uiPriority w:val="99"/>
    <w:semiHidden/>
    <w:rsid w:val="005A6E43"/>
    <w:rPr>
      <w:rFonts w:ascii="Calibri" w:hAnsi="Calibri" w:cs="Times New Roman"/>
      <w:b/>
      <w:bCs/>
      <w:sz w:val="20"/>
      <w:szCs w:val="20"/>
      <w:lang w:eastAsia="es-ES"/>
    </w:rPr>
  </w:style>
  <w:style w:type="paragraph" w:styleId="Textonotapie">
    <w:name w:val="footnote text"/>
    <w:basedOn w:val="Normal"/>
    <w:link w:val="TextonotapieCar"/>
    <w:uiPriority w:val="99"/>
    <w:semiHidden/>
    <w:unhideWhenUsed/>
    <w:rsid w:val="00FB5578"/>
    <w:rPr>
      <w:sz w:val="20"/>
      <w:szCs w:val="20"/>
    </w:rPr>
  </w:style>
  <w:style w:type="character" w:customStyle="1" w:styleId="TextonotapieCar">
    <w:name w:val="Texto nota pie Car"/>
    <w:basedOn w:val="Fuentedeprrafopredeter"/>
    <w:link w:val="Textonotapie"/>
    <w:uiPriority w:val="99"/>
    <w:semiHidden/>
    <w:rsid w:val="00FB5578"/>
    <w:rPr>
      <w:rFonts w:ascii="Calibri" w:hAnsi="Calibri" w:cs="Times New Roman"/>
      <w:sz w:val="20"/>
      <w:szCs w:val="20"/>
      <w:lang w:eastAsia="es-ES"/>
    </w:rPr>
  </w:style>
  <w:style w:type="character" w:styleId="Refdenotaalpie">
    <w:name w:val="footnote reference"/>
    <w:basedOn w:val="Fuentedeprrafopredeter"/>
    <w:uiPriority w:val="99"/>
    <w:semiHidden/>
    <w:unhideWhenUsed/>
    <w:rsid w:val="00FB5578"/>
    <w:rPr>
      <w:vertAlign w:val="superscript"/>
    </w:rPr>
  </w:style>
  <w:style w:type="table" w:customStyle="1" w:styleId="Tabladecuadrcula4-nfasis31">
    <w:name w:val="Tabla de cuadrícula 4 - Énfasis 31"/>
    <w:basedOn w:val="Tablanormal"/>
    <w:uiPriority w:val="49"/>
    <w:rsid w:val="00B77A9D"/>
    <w:pPr>
      <w:spacing w:after="0" w:line="240" w:lineRule="auto"/>
    </w:pPr>
    <w:rPr>
      <w:lang w:val="es-MX"/>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decuadrcula4-nfasis3">
    <w:name w:val="Grid Table 4 Accent 3"/>
    <w:basedOn w:val="Tablanormal"/>
    <w:uiPriority w:val="49"/>
    <w:rsid w:val="0056573E"/>
    <w:pPr>
      <w:spacing w:after="0" w:line="240" w:lineRule="auto"/>
    </w:pPr>
    <w:rPr>
      <w:lang w:val="es-MX"/>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adecuadrcula4-nfasis4">
    <w:name w:val="Grid Table 4 Accent 4"/>
    <w:basedOn w:val="Tablanormal"/>
    <w:uiPriority w:val="49"/>
    <w:rsid w:val="005E5FC4"/>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character" w:customStyle="1" w:styleId="Ttulo1Car">
    <w:name w:val="Título 1 Car"/>
    <w:basedOn w:val="Fuentedeprrafopredeter"/>
    <w:link w:val="Ttulo1"/>
    <w:uiPriority w:val="9"/>
    <w:rsid w:val="00DD2662"/>
    <w:rPr>
      <w:rFonts w:ascii="Tahoma" w:eastAsiaTheme="majorEastAsia" w:hAnsi="Tahoma" w:cstheme="majorBidi"/>
      <w:b/>
      <w:sz w:val="26"/>
      <w:szCs w:val="32"/>
      <w:lang w:eastAsia="es-ES"/>
    </w:rPr>
  </w:style>
  <w:style w:type="character" w:customStyle="1" w:styleId="Ttulo2Car">
    <w:name w:val="Título 2 Car"/>
    <w:basedOn w:val="Fuentedeprrafopredeter"/>
    <w:link w:val="Ttulo2"/>
    <w:uiPriority w:val="9"/>
    <w:rsid w:val="00E4686E"/>
    <w:rPr>
      <w:rFonts w:ascii="Tahoma" w:eastAsiaTheme="majorEastAsia" w:hAnsi="Tahoma" w:cstheme="majorBidi"/>
      <w:b/>
      <w:color w:val="398E98" w:themeColor="accent2" w:themeShade="BF"/>
      <w:sz w:val="24"/>
      <w:szCs w:val="26"/>
      <w:lang w:eastAsia="es-ES"/>
    </w:rPr>
  </w:style>
  <w:style w:type="paragraph" w:styleId="TtuloTDC">
    <w:name w:val="TOC Heading"/>
    <w:basedOn w:val="Ttulo1"/>
    <w:next w:val="Normal"/>
    <w:uiPriority w:val="39"/>
    <w:unhideWhenUsed/>
    <w:qFormat/>
    <w:rsid w:val="001F7E2F"/>
    <w:pPr>
      <w:spacing w:line="259" w:lineRule="auto"/>
      <w:jc w:val="left"/>
      <w:outlineLvl w:val="9"/>
    </w:pPr>
    <w:rPr>
      <w:rFonts w:asciiTheme="majorHAnsi" w:hAnsiTheme="majorHAnsi"/>
      <w:b w:val="0"/>
      <w:color w:val="276E8B" w:themeColor="accent1" w:themeShade="BF"/>
      <w:sz w:val="32"/>
      <w:lang w:val="es-MX" w:eastAsia="es-MX"/>
    </w:rPr>
  </w:style>
  <w:style w:type="paragraph" w:styleId="TDC1">
    <w:name w:val="toc 1"/>
    <w:basedOn w:val="Normal"/>
    <w:next w:val="Normal"/>
    <w:autoRedefine/>
    <w:uiPriority w:val="39"/>
    <w:unhideWhenUsed/>
    <w:rsid w:val="001F7E2F"/>
    <w:pPr>
      <w:spacing w:after="100"/>
    </w:pPr>
  </w:style>
  <w:style w:type="paragraph" w:styleId="TDC2">
    <w:name w:val="toc 2"/>
    <w:basedOn w:val="Normal"/>
    <w:next w:val="Normal"/>
    <w:autoRedefine/>
    <w:uiPriority w:val="39"/>
    <w:unhideWhenUsed/>
    <w:rsid w:val="001F7E2F"/>
    <w:pPr>
      <w:spacing w:after="100"/>
      <w:ind w:left="240"/>
    </w:pPr>
  </w:style>
  <w:style w:type="paragraph" w:styleId="Ttulo">
    <w:name w:val="Title"/>
    <w:basedOn w:val="Normal"/>
    <w:next w:val="Normal"/>
    <w:link w:val="TtuloCar"/>
    <w:uiPriority w:val="10"/>
    <w:qFormat/>
    <w:rsid w:val="003006EA"/>
    <w:pPr>
      <w:spacing w:after="120" w:line="240" w:lineRule="auto"/>
      <w:contextualSpacing/>
      <w:jc w:val="center"/>
    </w:pPr>
    <w:rPr>
      <w:rFonts w:eastAsiaTheme="majorEastAsia" w:cstheme="majorBidi"/>
      <w:b/>
      <w:spacing w:val="-10"/>
      <w:kern w:val="28"/>
      <w:sz w:val="56"/>
      <w:szCs w:val="56"/>
    </w:rPr>
  </w:style>
  <w:style w:type="character" w:customStyle="1" w:styleId="TtuloCar">
    <w:name w:val="Título Car"/>
    <w:basedOn w:val="Fuentedeprrafopredeter"/>
    <w:link w:val="Ttulo"/>
    <w:uiPriority w:val="10"/>
    <w:rsid w:val="003006EA"/>
    <w:rPr>
      <w:rFonts w:ascii="Tahoma" w:eastAsiaTheme="majorEastAsia" w:hAnsi="Tahoma" w:cstheme="majorBidi"/>
      <w:b/>
      <w:spacing w:val="-10"/>
      <w:kern w:val="28"/>
      <w:sz w:val="56"/>
      <w:szCs w:val="56"/>
      <w:lang w:eastAsia="es-ES"/>
    </w:rPr>
  </w:style>
  <w:style w:type="paragraph" w:styleId="Subttulo">
    <w:name w:val="Subtitle"/>
    <w:basedOn w:val="Normal"/>
    <w:next w:val="Normal"/>
    <w:link w:val="SubttuloCar"/>
    <w:uiPriority w:val="11"/>
    <w:qFormat/>
    <w:rsid w:val="005E695F"/>
    <w:pPr>
      <w:numPr>
        <w:ilvl w:val="1"/>
      </w:numPr>
      <w:spacing w:after="160"/>
      <w:jc w:val="center"/>
    </w:pPr>
    <w:rPr>
      <w:rFonts w:eastAsiaTheme="minorEastAsia" w:cstheme="minorBidi"/>
      <w:color w:val="404040" w:themeColor="text1" w:themeTint="BF"/>
      <w:spacing w:val="15"/>
      <w:sz w:val="26"/>
    </w:rPr>
  </w:style>
  <w:style w:type="character" w:customStyle="1" w:styleId="SubttuloCar">
    <w:name w:val="Subtítulo Car"/>
    <w:basedOn w:val="Fuentedeprrafopredeter"/>
    <w:link w:val="Subttulo"/>
    <w:uiPriority w:val="11"/>
    <w:rsid w:val="005E695F"/>
    <w:rPr>
      <w:rFonts w:ascii="Tahoma" w:eastAsiaTheme="minorEastAsia" w:hAnsi="Tahoma"/>
      <w:color w:val="404040" w:themeColor="text1" w:themeTint="BF"/>
      <w:spacing w:val="15"/>
      <w:sz w:val="26"/>
      <w:lang w:eastAsia="es-ES"/>
    </w:rPr>
  </w:style>
  <w:style w:type="character" w:customStyle="1" w:styleId="Ttulo3Car">
    <w:name w:val="Título 3 Car"/>
    <w:basedOn w:val="Fuentedeprrafopredeter"/>
    <w:link w:val="Ttulo3"/>
    <w:uiPriority w:val="9"/>
    <w:rsid w:val="00E4686E"/>
    <w:rPr>
      <w:rFonts w:ascii="Tahoma" w:eastAsiaTheme="majorEastAsia" w:hAnsi="Tahoma" w:cstheme="majorBidi"/>
      <w:b/>
      <w:sz w:val="24"/>
      <w:szCs w:val="24"/>
      <w:lang w:eastAsia="es-ES"/>
    </w:rPr>
  </w:style>
  <w:style w:type="paragraph" w:styleId="TDC3">
    <w:name w:val="toc 3"/>
    <w:basedOn w:val="Normal"/>
    <w:next w:val="Normal"/>
    <w:autoRedefine/>
    <w:uiPriority w:val="39"/>
    <w:unhideWhenUsed/>
    <w:rsid w:val="00E4686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21170">
      <w:bodyDiv w:val="1"/>
      <w:marLeft w:val="0"/>
      <w:marRight w:val="0"/>
      <w:marTop w:val="0"/>
      <w:marBottom w:val="0"/>
      <w:divBdr>
        <w:top w:val="none" w:sz="0" w:space="0" w:color="auto"/>
        <w:left w:val="none" w:sz="0" w:space="0" w:color="auto"/>
        <w:bottom w:val="none" w:sz="0" w:space="0" w:color="auto"/>
        <w:right w:val="none" w:sz="0" w:space="0" w:color="auto"/>
      </w:divBdr>
    </w:div>
    <w:div w:id="119694521">
      <w:bodyDiv w:val="1"/>
      <w:marLeft w:val="0"/>
      <w:marRight w:val="0"/>
      <w:marTop w:val="0"/>
      <w:marBottom w:val="0"/>
      <w:divBdr>
        <w:top w:val="none" w:sz="0" w:space="0" w:color="auto"/>
        <w:left w:val="none" w:sz="0" w:space="0" w:color="auto"/>
        <w:bottom w:val="none" w:sz="0" w:space="0" w:color="auto"/>
        <w:right w:val="none" w:sz="0" w:space="0" w:color="auto"/>
      </w:divBdr>
    </w:div>
    <w:div w:id="139884376">
      <w:bodyDiv w:val="1"/>
      <w:marLeft w:val="0"/>
      <w:marRight w:val="0"/>
      <w:marTop w:val="0"/>
      <w:marBottom w:val="0"/>
      <w:divBdr>
        <w:top w:val="none" w:sz="0" w:space="0" w:color="auto"/>
        <w:left w:val="none" w:sz="0" w:space="0" w:color="auto"/>
        <w:bottom w:val="none" w:sz="0" w:space="0" w:color="auto"/>
        <w:right w:val="none" w:sz="0" w:space="0" w:color="auto"/>
      </w:divBdr>
    </w:div>
    <w:div w:id="226965130">
      <w:bodyDiv w:val="1"/>
      <w:marLeft w:val="0"/>
      <w:marRight w:val="0"/>
      <w:marTop w:val="0"/>
      <w:marBottom w:val="0"/>
      <w:divBdr>
        <w:top w:val="none" w:sz="0" w:space="0" w:color="auto"/>
        <w:left w:val="none" w:sz="0" w:space="0" w:color="auto"/>
        <w:bottom w:val="none" w:sz="0" w:space="0" w:color="auto"/>
        <w:right w:val="none" w:sz="0" w:space="0" w:color="auto"/>
      </w:divBdr>
    </w:div>
    <w:div w:id="539321748">
      <w:bodyDiv w:val="1"/>
      <w:marLeft w:val="0"/>
      <w:marRight w:val="0"/>
      <w:marTop w:val="0"/>
      <w:marBottom w:val="0"/>
      <w:divBdr>
        <w:top w:val="none" w:sz="0" w:space="0" w:color="auto"/>
        <w:left w:val="none" w:sz="0" w:space="0" w:color="auto"/>
        <w:bottom w:val="none" w:sz="0" w:space="0" w:color="auto"/>
        <w:right w:val="none" w:sz="0" w:space="0" w:color="auto"/>
      </w:divBdr>
    </w:div>
    <w:div w:id="852183835">
      <w:bodyDiv w:val="1"/>
      <w:marLeft w:val="0"/>
      <w:marRight w:val="0"/>
      <w:marTop w:val="0"/>
      <w:marBottom w:val="0"/>
      <w:divBdr>
        <w:top w:val="none" w:sz="0" w:space="0" w:color="auto"/>
        <w:left w:val="none" w:sz="0" w:space="0" w:color="auto"/>
        <w:bottom w:val="none" w:sz="0" w:space="0" w:color="auto"/>
        <w:right w:val="none" w:sz="0" w:space="0" w:color="auto"/>
      </w:divBdr>
    </w:div>
    <w:div w:id="1123500678">
      <w:bodyDiv w:val="1"/>
      <w:marLeft w:val="0"/>
      <w:marRight w:val="0"/>
      <w:marTop w:val="0"/>
      <w:marBottom w:val="0"/>
      <w:divBdr>
        <w:top w:val="none" w:sz="0" w:space="0" w:color="auto"/>
        <w:left w:val="none" w:sz="0" w:space="0" w:color="auto"/>
        <w:bottom w:val="none" w:sz="0" w:space="0" w:color="auto"/>
        <w:right w:val="none" w:sz="0" w:space="0" w:color="auto"/>
      </w:divBdr>
      <w:divsChild>
        <w:div w:id="1778407755">
          <w:marLeft w:val="0"/>
          <w:marRight w:val="0"/>
          <w:marTop w:val="0"/>
          <w:marBottom w:val="0"/>
          <w:divBdr>
            <w:top w:val="none" w:sz="0" w:space="0" w:color="auto"/>
            <w:left w:val="none" w:sz="0" w:space="0" w:color="auto"/>
            <w:bottom w:val="none" w:sz="0" w:space="0" w:color="auto"/>
            <w:right w:val="none" w:sz="0" w:space="0" w:color="auto"/>
          </w:divBdr>
          <w:divsChild>
            <w:div w:id="1682387681">
              <w:marLeft w:val="0"/>
              <w:marRight w:val="0"/>
              <w:marTop w:val="0"/>
              <w:marBottom w:val="0"/>
              <w:divBdr>
                <w:top w:val="none" w:sz="0" w:space="0" w:color="auto"/>
                <w:left w:val="none" w:sz="0" w:space="0" w:color="auto"/>
                <w:bottom w:val="none" w:sz="0" w:space="0" w:color="auto"/>
                <w:right w:val="none" w:sz="0" w:space="0" w:color="auto"/>
              </w:divBdr>
              <w:divsChild>
                <w:div w:id="1532911865">
                  <w:marLeft w:val="0"/>
                  <w:marRight w:val="0"/>
                  <w:marTop w:val="0"/>
                  <w:marBottom w:val="0"/>
                  <w:divBdr>
                    <w:top w:val="none" w:sz="0" w:space="0" w:color="auto"/>
                    <w:left w:val="none" w:sz="0" w:space="0" w:color="auto"/>
                    <w:bottom w:val="none" w:sz="0" w:space="0" w:color="auto"/>
                    <w:right w:val="none" w:sz="0" w:space="0" w:color="auto"/>
                  </w:divBdr>
                  <w:divsChild>
                    <w:div w:id="17898804">
                      <w:marLeft w:val="0"/>
                      <w:marRight w:val="0"/>
                      <w:marTop w:val="0"/>
                      <w:marBottom w:val="0"/>
                      <w:divBdr>
                        <w:top w:val="none" w:sz="0" w:space="0" w:color="auto"/>
                        <w:left w:val="none" w:sz="0" w:space="0" w:color="auto"/>
                        <w:bottom w:val="none" w:sz="0" w:space="0" w:color="auto"/>
                        <w:right w:val="none" w:sz="0" w:space="0" w:color="auto"/>
                      </w:divBdr>
                      <w:divsChild>
                        <w:div w:id="681399959">
                          <w:marLeft w:val="0"/>
                          <w:marRight w:val="0"/>
                          <w:marTop w:val="0"/>
                          <w:marBottom w:val="360"/>
                          <w:divBdr>
                            <w:top w:val="none" w:sz="0" w:space="0" w:color="auto"/>
                            <w:left w:val="none" w:sz="0" w:space="0" w:color="auto"/>
                            <w:bottom w:val="none" w:sz="0" w:space="0" w:color="auto"/>
                            <w:right w:val="none" w:sz="0" w:space="0" w:color="auto"/>
                          </w:divBdr>
                          <w:divsChild>
                            <w:div w:id="2067139722">
                              <w:marLeft w:val="2"/>
                              <w:marRight w:val="0"/>
                              <w:marTop w:val="0"/>
                              <w:marBottom w:val="0"/>
                              <w:divBdr>
                                <w:top w:val="none" w:sz="0" w:space="0" w:color="auto"/>
                                <w:left w:val="none" w:sz="0" w:space="0" w:color="auto"/>
                                <w:bottom w:val="none" w:sz="0" w:space="0" w:color="auto"/>
                                <w:right w:val="none" w:sz="0" w:space="0" w:color="auto"/>
                              </w:divBdr>
                              <w:divsChild>
                                <w:div w:id="549731032">
                                  <w:marLeft w:val="0"/>
                                  <w:marRight w:val="0"/>
                                  <w:marTop w:val="0"/>
                                  <w:marBottom w:val="0"/>
                                  <w:divBdr>
                                    <w:top w:val="none" w:sz="0" w:space="0" w:color="auto"/>
                                    <w:left w:val="none" w:sz="0" w:space="0" w:color="auto"/>
                                    <w:bottom w:val="none" w:sz="0" w:space="0" w:color="auto"/>
                                    <w:right w:val="none" w:sz="0" w:space="0" w:color="auto"/>
                                  </w:divBdr>
                                  <w:divsChild>
                                    <w:div w:id="492377177">
                                      <w:marLeft w:val="0"/>
                                      <w:marRight w:val="0"/>
                                      <w:marTop w:val="0"/>
                                      <w:marBottom w:val="0"/>
                                      <w:divBdr>
                                        <w:top w:val="none" w:sz="0" w:space="0" w:color="auto"/>
                                        <w:left w:val="none" w:sz="0" w:space="0" w:color="auto"/>
                                        <w:bottom w:val="none" w:sz="0" w:space="0" w:color="auto"/>
                                        <w:right w:val="none" w:sz="0" w:space="0" w:color="auto"/>
                                      </w:divBdr>
                                      <w:divsChild>
                                        <w:div w:id="4699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839118">
      <w:bodyDiv w:val="1"/>
      <w:marLeft w:val="0"/>
      <w:marRight w:val="0"/>
      <w:marTop w:val="0"/>
      <w:marBottom w:val="0"/>
      <w:divBdr>
        <w:top w:val="none" w:sz="0" w:space="0" w:color="auto"/>
        <w:left w:val="none" w:sz="0" w:space="0" w:color="auto"/>
        <w:bottom w:val="none" w:sz="0" w:space="0" w:color="auto"/>
        <w:right w:val="none" w:sz="0" w:space="0" w:color="auto"/>
      </w:divBdr>
    </w:div>
    <w:div w:id="1838305352">
      <w:bodyDiv w:val="1"/>
      <w:marLeft w:val="0"/>
      <w:marRight w:val="0"/>
      <w:marTop w:val="0"/>
      <w:marBottom w:val="0"/>
      <w:divBdr>
        <w:top w:val="none" w:sz="0" w:space="0" w:color="auto"/>
        <w:left w:val="none" w:sz="0" w:space="0" w:color="auto"/>
        <w:bottom w:val="none" w:sz="0" w:space="0" w:color="auto"/>
        <w:right w:val="none" w:sz="0" w:space="0" w:color="auto"/>
      </w:divBdr>
    </w:div>
    <w:div w:id="1996256845">
      <w:bodyDiv w:val="1"/>
      <w:marLeft w:val="0"/>
      <w:marRight w:val="0"/>
      <w:marTop w:val="0"/>
      <w:marBottom w:val="0"/>
      <w:divBdr>
        <w:top w:val="none" w:sz="0" w:space="0" w:color="auto"/>
        <w:left w:val="none" w:sz="0" w:space="0" w:color="auto"/>
        <w:bottom w:val="none" w:sz="0" w:space="0" w:color="auto"/>
        <w:right w:val="none" w:sz="0" w:space="0" w:color="auto"/>
      </w:divBdr>
    </w:div>
    <w:div w:id="21221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20F198-E1BA-4AD0-A815-FAEB9154BEC5}">
  <ds:schemaRefs>
    <ds:schemaRef ds:uri="http://schemas.openxmlformats.org/officeDocument/2006/bibliography"/>
  </ds:schemaRefs>
</ds:datastoreItem>
</file>

<file path=customXml/itemProps2.xml><?xml version="1.0" encoding="utf-8"?>
<ds:datastoreItem xmlns:ds="http://schemas.openxmlformats.org/officeDocument/2006/customXml" ds:itemID="{B8A67FCD-E87C-48EA-B5CA-164898C7080E}"/>
</file>

<file path=customXml/itemProps3.xml><?xml version="1.0" encoding="utf-8"?>
<ds:datastoreItem xmlns:ds="http://schemas.openxmlformats.org/officeDocument/2006/customXml" ds:itemID="{188409A7-D346-411C-9583-4E87E7E800E2}"/>
</file>

<file path=customXml/itemProps4.xml><?xml version="1.0" encoding="utf-8"?>
<ds:datastoreItem xmlns:ds="http://schemas.openxmlformats.org/officeDocument/2006/customXml" ds:itemID="{9750D8DF-05B2-439B-AD4D-2770881BCC55}"/>
</file>

<file path=docProps/app.xml><?xml version="1.0" encoding="utf-8"?>
<Properties xmlns="http://schemas.openxmlformats.org/officeDocument/2006/extended-properties" xmlns:vt="http://schemas.openxmlformats.org/officeDocument/2006/docPropsVTypes">
  <Template>Normal.dotm</Template>
  <TotalTime>10</TotalTime>
  <Pages>19</Pages>
  <Words>3336</Words>
  <Characters>18348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claudia.escoto</dc:creator>
  <cp:lastModifiedBy>Claudia Alin Escoto Velázquez</cp:lastModifiedBy>
  <cp:revision>4</cp:revision>
  <cp:lastPrinted>2020-01-24T02:21:00Z</cp:lastPrinted>
  <dcterms:created xsi:type="dcterms:W3CDTF">2020-01-24T02:05:00Z</dcterms:created>
  <dcterms:modified xsi:type="dcterms:W3CDTF">2020-01-24T02:21:00Z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